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杭银理财幸福99月添益1801期理财（FRG1801）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杭银理财幸福99月添益1801期理财（产品编号：FRG1801）下一运行周期（2025-02-07至2025-03-04）的业绩比较基准如下：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1.9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2.95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1.95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2.95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hAnsi="宋体" w:eastAsia="宋体" w:cs="宋体"/>
          <w:b/>
          <w:color w:val="333333"/>
          <w:sz w:val="24"/>
        </w:rPr>
        <w:t>（产品编号：FRG1801）本周期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2025-01-26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2025-02-06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2025-02-07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2025-02-06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2025-02-06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2025-02-07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2025-01-26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2025-02-06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2025-02-07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hAnsi="宋体" w:eastAsia="宋体" w:cs="宋体"/>
          <w:b/>
          <w:color w:val="333333"/>
          <w:sz w:val="24"/>
        </w:rPr>
        <w:t>（产品编号：FRG1801）下周期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2025-02-26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2025-03-04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2025-03-05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2025-03-04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2025-03-04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2025-03-05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2025-02-26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2025-03-04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2025-03-05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2025年1月16日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AD34AF6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2620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2025-01-21T06:05:02Z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