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 xml:space="preserve"> </w:t>
      </w:r>
    </w:p>
    <w:p/>
    <w:p/>
    <w:p/>
    <w:p/>
    <w:p/>
    <w:p/>
    <w:p/>
    <w:p/>
    <w:p>
      <w:pPr>
        <w:jc w:val="center"/>
        <w:outlineLvl w:val="0"/>
        <w:rPr>
          <w:rFonts w:hint="eastAsia" w:ascii="宋体" w:hAnsi="宋体" w:eastAsia="宋体" w:cs="宋体"/>
          <w:sz w:val="44"/>
          <w:szCs w:val="44"/>
          <w:highlight w:val="none"/>
          <w:lang w:eastAsia="zh-CN"/>
        </w:rPr>
      </w:pPr>
      <w:r>
        <w:rPr>
          <w:rFonts w:hint="eastAsia" w:ascii="宋体" w:hAnsi="宋体" w:cs="宋体"/>
          <w:sz w:val="44"/>
          <w:szCs w:val="44"/>
          <w:highlight w:val="none"/>
        </w:rPr>
        <w:t>杭银理财幸福99天添益（</w:t>
      </w:r>
      <w:r>
        <w:rPr>
          <w:rFonts w:hint="eastAsia" w:ascii="宋体" w:hAnsi="宋体" w:cs="宋体"/>
          <w:sz w:val="44"/>
          <w:szCs w:val="44"/>
          <w:highlight w:val="none"/>
          <w:lang w:eastAsia="zh-CN"/>
        </w:rPr>
        <w:t>安享优选</w:t>
      </w:r>
      <w:r>
        <w:rPr>
          <w:rFonts w:hint="eastAsia" w:ascii="宋体" w:hAnsi="宋体" w:cs="宋体"/>
          <w:sz w:val="44"/>
          <w:szCs w:val="44"/>
          <w:highlight w:val="none"/>
        </w:rPr>
        <w:t>）</w:t>
      </w:r>
      <w:r>
        <w:rPr>
          <w:rFonts w:hint="eastAsia" w:ascii="宋体" w:hAnsi="宋体" w:cs="宋体"/>
          <w:sz w:val="44"/>
          <w:szCs w:val="44"/>
          <w:highlight w:val="none"/>
          <w:lang w:val="en-US" w:eastAsia="zh-CN"/>
        </w:rPr>
        <w:t>6</w:t>
      </w:r>
      <w:r>
        <w:rPr>
          <w:rFonts w:hint="eastAsia" w:ascii="宋体" w:hAnsi="宋体" w:cs="宋体"/>
          <w:sz w:val="44"/>
          <w:szCs w:val="44"/>
          <w:highlight w:val="none"/>
        </w:rPr>
        <w:t>期</w:t>
      </w:r>
      <w:r>
        <w:rPr>
          <w:rFonts w:hint="eastAsia" w:ascii="宋体" w:hAnsi="宋体" w:cs="宋体"/>
          <w:sz w:val="44"/>
          <w:szCs w:val="44"/>
          <w:highlight w:val="none"/>
          <w:lang w:eastAsia="zh-CN"/>
        </w:rPr>
        <w:t>理财合同</w:t>
      </w:r>
    </w:p>
    <w:p>
      <w:pPr>
        <w:jc w:val="center"/>
        <w:rPr>
          <w:rFonts w:ascii="宋体" w:hAnsi="宋体" w:cs="宋体"/>
          <w:sz w:val="44"/>
          <w:szCs w:val="44"/>
          <w:highlight w:val="none"/>
        </w:rPr>
      </w:pPr>
    </w:p>
    <w:p>
      <w:pPr>
        <w:jc w:val="center"/>
        <w:rPr>
          <w:rFonts w:ascii="宋体" w:hAnsi="宋体" w:cs="宋体"/>
          <w:sz w:val="44"/>
          <w:szCs w:val="44"/>
          <w:highlight w:val="none"/>
        </w:rPr>
      </w:pPr>
    </w:p>
    <w:p>
      <w:pPr>
        <w:jc w:val="center"/>
        <w:rPr>
          <w:rFonts w:ascii="宋体" w:hAnsi="宋体" w:cs="宋体"/>
          <w:sz w:val="44"/>
          <w:szCs w:val="44"/>
          <w:highlight w:val="none"/>
        </w:rPr>
      </w:pPr>
    </w:p>
    <w:p>
      <w:pPr>
        <w:jc w:val="center"/>
        <w:rPr>
          <w:rFonts w:ascii="宋体" w:hAnsi="宋体" w:cs="宋体"/>
          <w:sz w:val="44"/>
          <w:szCs w:val="44"/>
          <w:highlight w:val="none"/>
        </w:rPr>
      </w:pPr>
    </w:p>
    <w:p>
      <w:pPr>
        <w:jc w:val="center"/>
        <w:rPr>
          <w:rFonts w:ascii="宋体" w:hAnsi="宋体" w:cs="宋体"/>
          <w:sz w:val="44"/>
          <w:szCs w:val="44"/>
          <w:highlight w:val="none"/>
        </w:rPr>
      </w:pPr>
    </w:p>
    <w:p>
      <w:pPr>
        <w:jc w:val="center"/>
        <w:rPr>
          <w:rFonts w:ascii="宋体" w:hAnsi="宋体" w:cs="宋体"/>
          <w:sz w:val="44"/>
          <w:szCs w:val="44"/>
          <w:highlight w:val="none"/>
        </w:rPr>
      </w:pPr>
    </w:p>
    <w:p>
      <w:pPr>
        <w:jc w:val="center"/>
        <w:rPr>
          <w:rFonts w:ascii="宋体" w:hAnsi="宋体" w:cs="宋体"/>
          <w:sz w:val="44"/>
          <w:szCs w:val="44"/>
          <w:highlight w:val="none"/>
        </w:rPr>
      </w:pPr>
    </w:p>
    <w:p>
      <w:pPr>
        <w:jc w:val="center"/>
        <w:rPr>
          <w:rFonts w:ascii="宋体" w:hAnsi="宋体" w:cs="宋体"/>
          <w:sz w:val="32"/>
          <w:szCs w:val="32"/>
          <w:highlight w:val="none"/>
        </w:rPr>
      </w:pPr>
      <w:r>
        <w:rPr>
          <w:rFonts w:hint="eastAsia" w:ascii="宋体" w:hAnsi="宋体" w:cs="宋体"/>
          <w:sz w:val="32"/>
          <w:szCs w:val="32"/>
          <w:highlight w:val="none"/>
        </w:rPr>
        <w:t>理财计划管理人：杭银理财有限责任公司</w:t>
      </w:r>
    </w:p>
    <w:p>
      <w:pPr>
        <w:jc w:val="center"/>
        <w:rPr>
          <w:rFonts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ascii="宋体" w:hAnsi="宋体" w:cs="宋体"/>
          <w:sz w:val="32"/>
          <w:szCs w:val="32"/>
          <w:highlight w:val="none"/>
        </w:rPr>
      </w:pPr>
    </w:p>
    <w:p>
      <w:pPr>
        <w:jc w:val="center"/>
        <w:rPr>
          <w:rFonts w:ascii="宋体" w:hAnsi="宋体" w:cs="宋体"/>
          <w:sz w:val="32"/>
          <w:szCs w:val="32"/>
          <w:highlight w:val="none"/>
        </w:rPr>
      </w:pPr>
    </w:p>
    <w:p>
      <w:pPr>
        <w:jc w:val="center"/>
        <w:rPr>
          <w:rFonts w:ascii="宋体" w:hAnsi="宋体" w:cs="宋体"/>
          <w:sz w:val="32"/>
          <w:szCs w:val="32"/>
          <w:highlight w:val="none"/>
        </w:rPr>
      </w:pPr>
    </w:p>
    <w:p>
      <w:pPr>
        <w:jc w:val="center"/>
        <w:rPr>
          <w:rFonts w:ascii="宋体" w:hAnsi="宋体" w:cs="宋体"/>
          <w:sz w:val="32"/>
          <w:szCs w:val="32"/>
          <w:highlight w:val="none"/>
        </w:rPr>
      </w:pPr>
    </w:p>
    <w:p>
      <w:pPr>
        <w:jc w:val="center"/>
        <w:rPr>
          <w:rFonts w:ascii="宋体" w:hAnsi="宋体" w:cs="宋体"/>
          <w:sz w:val="32"/>
          <w:szCs w:val="32"/>
          <w:highlight w:val="none"/>
        </w:rPr>
      </w:pPr>
    </w:p>
    <w:p>
      <w:pPr>
        <w:jc w:val="center"/>
        <w:rPr>
          <w:rFonts w:ascii="宋体" w:hAnsi="宋体" w:cs="宋体"/>
          <w:sz w:val="32"/>
          <w:szCs w:val="32"/>
          <w:highlight w:val="none"/>
        </w:rPr>
      </w:pPr>
    </w:p>
    <w:p>
      <w:pPr>
        <w:rPr>
          <w:rFonts w:ascii="宋体" w:hAnsi="宋体" w:cs="宋体"/>
          <w:sz w:val="32"/>
          <w:szCs w:val="32"/>
          <w:highlight w:val="none"/>
        </w:rPr>
      </w:pPr>
    </w:p>
    <w:p>
      <w:pPr>
        <w:jc w:val="center"/>
        <w:rPr>
          <w:rFonts w:hint="eastAsia" w:ascii="宋体" w:hAnsi="宋体" w:cs="宋体"/>
          <w:b/>
          <w:bCs/>
          <w:sz w:val="44"/>
          <w:szCs w:val="44"/>
          <w:highlight w:val="none"/>
        </w:rPr>
      </w:pPr>
    </w:p>
    <w:p>
      <w:pPr>
        <w:jc w:val="center"/>
        <w:rPr>
          <w:rFonts w:hint="eastAsia" w:ascii="宋体" w:hAnsi="宋体" w:cs="宋体"/>
          <w:b/>
          <w:bCs/>
          <w:sz w:val="44"/>
          <w:szCs w:val="44"/>
          <w:highlight w:val="none"/>
        </w:rPr>
      </w:pPr>
    </w:p>
    <w:p>
      <w:pPr>
        <w:pStyle w:val="2"/>
        <w:bidi w:val="0"/>
        <w:outlineLvl w:val="0"/>
        <w:rPr>
          <w:rFonts w:hint="eastAsia" w:ascii="宋体" w:hAnsi="宋体" w:eastAsia="宋体" w:cs="宋体"/>
          <w:b/>
          <w:bCs/>
          <w:sz w:val="44"/>
          <w:szCs w:val="44"/>
          <w:highlight w:val="none"/>
          <w:lang w:val="en-US" w:eastAsia="zh-CN"/>
        </w:rPr>
      </w:pPr>
      <w:r>
        <w:rPr>
          <w:rFonts w:hint="eastAsia" w:ascii="宋体" w:hAnsi="宋体" w:eastAsia="宋体" w:cs="宋体"/>
          <w:b/>
          <w:bCs/>
          <w:sz w:val="44"/>
          <w:szCs w:val="44"/>
          <w:highlight w:val="none"/>
        </w:rPr>
        <w:t>杭银理财幸福99</w:t>
      </w:r>
      <w:r>
        <w:rPr>
          <w:rFonts w:hint="eastAsia" w:ascii="宋体" w:hAnsi="宋体" w:cs="宋体"/>
          <w:b/>
          <w:bCs/>
          <w:sz w:val="44"/>
          <w:szCs w:val="44"/>
          <w:highlight w:val="none"/>
          <w:lang w:eastAsia="zh-CN"/>
        </w:rPr>
        <w:t>天添益（安享优选）6期理财合同</w:t>
      </w:r>
      <w:r>
        <w:rPr>
          <w:rFonts w:hint="eastAsia" w:ascii="宋体" w:hAnsi="宋体" w:eastAsia="宋体" w:cs="宋体"/>
          <w:b/>
          <w:bCs/>
          <w:sz w:val="44"/>
          <w:szCs w:val="44"/>
          <w:highlight w:val="none"/>
          <w:lang w:val="en-US" w:eastAsia="zh-CN"/>
        </w:rPr>
        <w:t>文件</w:t>
      </w:r>
    </w:p>
    <w:p>
      <w:pPr>
        <w:jc w:val="both"/>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tbl>
      <w:tblPr>
        <w:tblStyle w:val="10"/>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序号</w:t>
            </w:r>
          </w:p>
        </w:tc>
        <w:tc>
          <w:tcPr>
            <w:tcW w:w="5160" w:type="dxa"/>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理财计划合同文件中的文件名称</w:t>
            </w:r>
          </w:p>
        </w:tc>
        <w:tc>
          <w:tcPr>
            <w:tcW w:w="2266" w:type="dxa"/>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5160" w:type="dxa"/>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杭银理财幸福99天添益（安享优选）6期理财风险揭示书</w:t>
            </w:r>
          </w:p>
        </w:tc>
        <w:tc>
          <w:tcPr>
            <w:tcW w:w="2266" w:type="dxa"/>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5160" w:type="dxa"/>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杭银理财幸福99天添益（安享优选）6期理财产品说明书</w:t>
            </w:r>
          </w:p>
        </w:tc>
        <w:tc>
          <w:tcPr>
            <w:tcW w:w="2266" w:type="dxa"/>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5160" w:type="dxa"/>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杭银理财投资者权益须知</w:t>
            </w:r>
          </w:p>
        </w:tc>
        <w:tc>
          <w:tcPr>
            <w:tcW w:w="2266" w:type="dxa"/>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5160" w:type="dxa"/>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杭银理财理财计划投资协议书</w:t>
            </w:r>
          </w:p>
        </w:tc>
        <w:tc>
          <w:tcPr>
            <w:tcW w:w="2266" w:type="dxa"/>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5160" w:type="dxa"/>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杭银理财理财计划销售协议书</w:t>
            </w:r>
          </w:p>
        </w:tc>
        <w:tc>
          <w:tcPr>
            <w:tcW w:w="2266" w:type="dxa"/>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理财计划销售协议书</w:t>
            </w:r>
          </w:p>
        </w:tc>
      </w:tr>
    </w:tbl>
    <w:p>
      <w:pPr>
        <w:jc w:val="center"/>
        <w:rPr>
          <w:rFonts w:hint="eastAsia" w:ascii="宋体" w:hAnsi="宋体" w:cs="宋体"/>
          <w:b/>
          <w:bCs/>
          <w:sz w:val="44"/>
          <w:szCs w:val="44"/>
          <w:highlight w:val="none"/>
        </w:rPr>
      </w:pPr>
    </w:p>
    <w:p>
      <w:pPr>
        <w:jc w:val="center"/>
        <w:rPr>
          <w:rFonts w:hint="eastAsia" w:ascii="宋体" w:hAnsi="宋体" w:cs="宋体"/>
          <w:b/>
          <w:bCs/>
          <w:sz w:val="44"/>
          <w:szCs w:val="44"/>
          <w:highlight w:val="none"/>
        </w:rPr>
      </w:pPr>
    </w:p>
    <w:p>
      <w:pPr>
        <w:jc w:val="center"/>
        <w:rPr>
          <w:rFonts w:hint="eastAsia" w:ascii="宋体" w:hAnsi="宋体" w:cs="宋体"/>
          <w:b/>
          <w:bCs/>
          <w:sz w:val="44"/>
          <w:szCs w:val="44"/>
          <w:highlight w:val="none"/>
        </w:rPr>
      </w:pPr>
    </w:p>
    <w:p>
      <w:pPr>
        <w:jc w:val="center"/>
        <w:rPr>
          <w:rFonts w:hint="eastAsia" w:ascii="宋体" w:hAnsi="宋体" w:cs="宋体"/>
          <w:b/>
          <w:bCs/>
          <w:sz w:val="44"/>
          <w:szCs w:val="44"/>
          <w:highlight w:val="none"/>
        </w:rPr>
      </w:pPr>
    </w:p>
    <w:p>
      <w:pPr>
        <w:jc w:val="center"/>
        <w:rPr>
          <w:rFonts w:hint="eastAsia" w:ascii="宋体" w:hAnsi="宋体" w:cs="宋体"/>
          <w:b/>
          <w:bCs/>
          <w:sz w:val="44"/>
          <w:szCs w:val="44"/>
          <w:highlight w:val="none"/>
        </w:rPr>
      </w:pPr>
    </w:p>
    <w:p>
      <w:pPr>
        <w:jc w:val="center"/>
        <w:rPr>
          <w:rFonts w:hint="eastAsia" w:ascii="宋体" w:hAnsi="宋体" w:cs="宋体"/>
          <w:b/>
          <w:bCs/>
          <w:sz w:val="44"/>
          <w:szCs w:val="44"/>
          <w:highlight w:val="none"/>
        </w:rPr>
      </w:pPr>
    </w:p>
    <w:p>
      <w:pPr>
        <w:jc w:val="center"/>
        <w:rPr>
          <w:rFonts w:hint="eastAsia" w:ascii="宋体" w:hAnsi="宋体" w:cs="宋体"/>
          <w:b/>
          <w:bCs/>
          <w:sz w:val="44"/>
          <w:szCs w:val="44"/>
          <w:highlight w:val="none"/>
        </w:rPr>
      </w:pPr>
    </w:p>
    <w:p>
      <w:pPr>
        <w:jc w:val="both"/>
        <w:rPr>
          <w:rFonts w:hint="eastAsia" w:ascii="宋体" w:hAnsi="宋体" w:cs="宋体"/>
          <w:b/>
          <w:bCs/>
          <w:sz w:val="44"/>
          <w:szCs w:val="44"/>
          <w:highlight w:val="none"/>
        </w:rPr>
      </w:pPr>
    </w:p>
    <w:p>
      <w:pPr>
        <w:jc w:val="center"/>
        <w:outlineLvl w:val="0"/>
        <w:rPr>
          <w:rFonts w:ascii="宋体" w:hAnsi="宋体" w:cs="宋体"/>
          <w:b/>
          <w:bCs/>
          <w:sz w:val="44"/>
          <w:szCs w:val="44"/>
          <w:highlight w:val="none"/>
        </w:rPr>
      </w:pPr>
      <w:r>
        <w:rPr>
          <w:rFonts w:hint="eastAsia" w:ascii="宋体" w:hAnsi="宋体" w:cs="宋体"/>
          <w:b/>
          <w:bCs/>
          <w:sz w:val="44"/>
          <w:szCs w:val="44"/>
          <w:highlight w:val="none"/>
        </w:rPr>
        <w:t>杭银理财幸福99</w:t>
      </w:r>
      <w:r>
        <w:rPr>
          <w:rFonts w:hint="eastAsia" w:ascii="宋体" w:hAnsi="宋体" w:cs="宋体"/>
          <w:b/>
          <w:bCs/>
          <w:sz w:val="44"/>
          <w:szCs w:val="44"/>
          <w:highlight w:val="none"/>
          <w:lang w:eastAsia="zh-CN"/>
        </w:rPr>
        <w:t>天添益（安享优选）6期</w:t>
      </w:r>
      <w:r>
        <w:rPr>
          <w:rFonts w:hint="eastAsia" w:ascii="宋体" w:hAnsi="宋体" w:cs="宋体"/>
          <w:b/>
          <w:bCs/>
          <w:sz w:val="44"/>
          <w:szCs w:val="44"/>
          <w:highlight w:val="none"/>
        </w:rPr>
        <w:t>理财风险揭示书</w:t>
      </w:r>
    </w:p>
    <w:p>
      <w:pPr>
        <w:jc w:val="center"/>
        <w:outlineLvl w:val="1"/>
        <w:rPr>
          <w:rFonts w:ascii="宋体" w:hAnsi="宋体" w:cs="宋体"/>
          <w:sz w:val="28"/>
          <w:szCs w:val="28"/>
          <w:highlight w:val="none"/>
        </w:rPr>
      </w:pPr>
      <w:r>
        <w:rPr>
          <w:rFonts w:hint="eastAsia" w:ascii="宋体" w:hAnsi="宋体" w:cs="宋体"/>
          <w:sz w:val="28"/>
          <w:szCs w:val="28"/>
          <w:highlight w:val="none"/>
        </w:rPr>
        <w:t>（</w:t>
      </w:r>
      <w:r>
        <w:rPr>
          <w:rFonts w:hint="eastAsia" w:ascii="宋体" w:hAnsi="宋体" w:cs="宋体"/>
          <w:sz w:val="28"/>
          <w:szCs w:val="28"/>
          <w:highlight w:val="none"/>
          <w:lang w:eastAsia="zh-CN"/>
        </w:rPr>
        <w:t>202201</w:t>
      </w:r>
      <w:r>
        <w:rPr>
          <w:rFonts w:hint="eastAsia" w:ascii="宋体" w:hAnsi="宋体" w:cs="宋体"/>
          <w:sz w:val="28"/>
          <w:szCs w:val="28"/>
          <w:highlight w:val="none"/>
        </w:rPr>
        <w:t>版）</w:t>
      </w:r>
    </w:p>
    <w:p>
      <w:pPr>
        <w:spacing w:line="360" w:lineRule="auto"/>
        <w:jc w:val="left"/>
        <w:rPr>
          <w:rFonts w:ascii="宋体" w:hAnsi="宋体" w:cs="宋体"/>
          <w:sz w:val="24"/>
          <w:highlight w:val="none"/>
        </w:rPr>
      </w:pPr>
      <w:r>
        <w:rPr>
          <w:rFonts w:hint="eastAsia" w:ascii="宋体" w:hAnsi="宋体" w:cs="宋体"/>
          <w:sz w:val="24"/>
          <w:highlight w:val="none"/>
        </w:rPr>
        <w:t>尊敬的理财投资者：</w:t>
      </w:r>
    </w:p>
    <w:p>
      <w:pPr>
        <w:spacing w:line="360" w:lineRule="auto"/>
        <w:jc w:val="center"/>
        <w:outlineLvl w:val="2"/>
        <w:rPr>
          <w:rFonts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w:t>
      </w:r>
      <w:r>
        <w:rPr>
          <w:rFonts w:hint="eastAsia" w:ascii="宋体" w:hAnsi="宋体" w:cs="宋体"/>
          <w:bCs/>
          <w:sz w:val="24"/>
          <w:highlight w:val="none"/>
          <w:lang w:eastAsia="zh-CN"/>
        </w:rPr>
        <w:t>国家金融监督管理总局</w:t>
      </w:r>
      <w:r>
        <w:rPr>
          <w:rFonts w:hint="eastAsia" w:ascii="宋体" w:hAnsi="宋体" w:cs="宋体"/>
          <w:bCs/>
          <w:sz w:val="24"/>
          <w:highlight w:val="none"/>
        </w:rPr>
        <w:t>相关监督规定，杭银理财有限责任公司作为本理财计划的管理人郑重提示：在购买理财计划前，请仔细阅读本理财计划完整合同（包括但不限于</w:t>
      </w:r>
      <w:r>
        <w:rPr>
          <w:rFonts w:hint="eastAsia" w:ascii="宋体" w:hAnsi="宋体" w:cs="宋体"/>
          <w:bCs/>
          <w:sz w:val="24"/>
          <w:highlight w:val="none"/>
          <w:lang w:val="en-US" w:eastAsia="zh-CN"/>
        </w:rPr>
        <w:t>理财计划</w:t>
      </w:r>
      <w:r>
        <w:rPr>
          <w:rFonts w:hint="eastAsia" w:ascii="宋体" w:hAnsi="宋体" w:cs="宋体"/>
          <w:bCs/>
          <w:sz w:val="24"/>
          <w:highlight w:val="none"/>
        </w:rPr>
        <w:t>风险揭示书、理财计划说明书、投资者权益须知、理财计划投资协议书和理财计划销售协议书，若通过电子渠道购买的，成功交易后视同为投资者与管理人已完成理财计划交易合同的签订），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numPr>
          <w:ilvl w:val="0"/>
          <w:numId w:val="1"/>
        </w:numPr>
        <w:spacing w:line="360" w:lineRule="auto"/>
        <w:jc w:val="left"/>
        <w:outlineLvl w:val="2"/>
        <w:rPr>
          <w:rFonts w:ascii="宋体" w:hAnsi="宋体" w:cs="宋体"/>
          <w:b/>
          <w:sz w:val="24"/>
          <w:highlight w:val="none"/>
        </w:rPr>
      </w:pPr>
      <w:r>
        <w:rPr>
          <w:rFonts w:hint="eastAsia" w:ascii="宋体" w:hAnsi="宋体" w:cs="宋体"/>
          <w:b/>
          <w:sz w:val="24"/>
          <w:highlight w:val="none"/>
        </w:rPr>
        <w:t>理财计划共性风险</w:t>
      </w:r>
    </w:p>
    <w:p>
      <w:pPr>
        <w:numPr>
          <w:ilvl w:val="0"/>
          <w:numId w:val="2"/>
        </w:numPr>
        <w:spacing w:line="360" w:lineRule="auto"/>
        <w:jc w:val="left"/>
        <w:rPr>
          <w:rFonts w:ascii="宋体" w:hAnsi="宋体" w:cs="宋体"/>
          <w:b/>
          <w:sz w:val="24"/>
          <w:highlight w:val="none"/>
        </w:rPr>
      </w:pPr>
      <w:r>
        <w:rPr>
          <w:rFonts w:hint="eastAsia" w:ascii="宋体" w:hAnsi="宋体" w:cs="宋体"/>
          <w:b/>
          <w:sz w:val="24"/>
          <w:highlight w:val="none"/>
        </w:rPr>
        <w:t>信用风险：理财计划所投资产的相关义务人信用状况恶化，出现信用违约情形，则理财计划本金或收益蒙受部分或全部损失的风险。</w:t>
      </w:r>
    </w:p>
    <w:p>
      <w:pPr>
        <w:numPr>
          <w:ilvl w:val="0"/>
          <w:numId w:val="2"/>
        </w:numPr>
        <w:spacing w:line="360" w:lineRule="auto"/>
        <w:jc w:val="left"/>
        <w:rPr>
          <w:rFonts w:ascii="宋体" w:hAnsi="宋体" w:cs="宋体"/>
          <w:b/>
          <w:sz w:val="24"/>
          <w:highlight w:val="none"/>
        </w:rPr>
      </w:pPr>
      <w:r>
        <w:rPr>
          <w:rFonts w:hint="eastAsia" w:ascii="宋体" w:hAnsi="宋体" w:cs="宋体"/>
          <w:b/>
          <w:sz w:val="24"/>
          <w:highlight w:val="none"/>
        </w:rPr>
        <w:t>市场风险：理财计划可能面临国家政策、经济周期、利率、汇率等因素的变化，所投资产价值可能出现波动，从而影响理财计划的收益，导致理财计划本金或收益蒙受部分或全部损失的风险，主要包括：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购买力风险：如发生通货膨胀，则所投资产的收益可能会被通货膨胀抵消，从而对理财计划收益的实际购买力产生影响。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政策风险：理财计划根据当前的相关法规和政策设计，如国家宏观政策以及相关市场</w:t>
      </w:r>
      <w:r>
        <w:rPr>
          <w:rFonts w:hint="eastAsia" w:ascii="宋体" w:hAnsi="宋体" w:cs="宋体"/>
          <w:b/>
          <w:sz w:val="24"/>
          <w:highlight w:val="none"/>
          <w:lang w:val="en-US" w:eastAsia="zh-CN"/>
        </w:rPr>
        <w:t>法律、</w:t>
      </w:r>
      <w:r>
        <w:rPr>
          <w:rFonts w:hint="eastAsia" w:ascii="宋体" w:hAnsi="宋体" w:cs="宋体"/>
          <w:b/>
          <w:sz w:val="24"/>
          <w:highlight w:val="none"/>
        </w:rPr>
        <w:t>法规发生变化，可能会影响理财计划的发行、投资、兑付等正常工作流程的进行，导致理财计划本金或收益蒙受部分或全部损失的风险。</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操作风险：理财计划由于内部作业、人员管理、系统操作、交易对手交易处理不当或失误等，导致理财计划本金或收益蒙受部分或全部损失的风险。</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提前</w:t>
      </w:r>
      <w:r>
        <w:rPr>
          <w:rFonts w:hint="eastAsia" w:ascii="宋体" w:hAnsi="宋体" w:cs="宋体"/>
          <w:b/>
          <w:sz w:val="24"/>
          <w:highlight w:val="none"/>
          <w:lang w:eastAsia="zh-CN"/>
        </w:rPr>
        <w:t>或延期</w:t>
      </w:r>
      <w:r>
        <w:rPr>
          <w:rFonts w:hint="eastAsia" w:ascii="宋体" w:hAnsi="宋体" w:cs="宋体"/>
          <w:b/>
          <w:sz w:val="24"/>
          <w:highlight w:val="none"/>
          <w:lang w:val="en-US" w:eastAsia="zh-CN"/>
        </w:rPr>
        <w:t>终止</w:t>
      </w:r>
      <w:r>
        <w:rPr>
          <w:rFonts w:hint="eastAsia" w:ascii="宋体" w:hAnsi="宋体" w:cs="宋体"/>
          <w:b/>
          <w:sz w:val="24"/>
          <w:highlight w:val="none"/>
        </w:rPr>
        <w:t>风险：为保护投资者利益，在理财计划存续期间，管理人可根据理财计划说明书约定的情形提前</w:t>
      </w:r>
      <w:r>
        <w:rPr>
          <w:rFonts w:hint="eastAsia" w:ascii="宋体" w:hAnsi="宋体" w:cs="宋体"/>
          <w:b/>
          <w:sz w:val="24"/>
          <w:highlight w:val="none"/>
          <w:lang w:eastAsia="zh-CN"/>
        </w:rPr>
        <w:t>或延期</w:t>
      </w:r>
      <w:r>
        <w:rPr>
          <w:rFonts w:hint="eastAsia" w:ascii="宋体" w:hAnsi="宋体" w:cs="宋体"/>
          <w:b/>
          <w:sz w:val="24"/>
          <w:highlight w:val="none"/>
        </w:rPr>
        <w:t>终止本理财计划。如理财计划被提前</w:t>
      </w:r>
      <w:r>
        <w:rPr>
          <w:rFonts w:hint="eastAsia" w:ascii="宋体" w:hAnsi="宋体" w:cs="宋体"/>
          <w:b/>
          <w:sz w:val="24"/>
          <w:highlight w:val="none"/>
          <w:lang w:eastAsia="zh-CN"/>
        </w:rPr>
        <w:t>或延期</w:t>
      </w:r>
      <w:r>
        <w:rPr>
          <w:rFonts w:hint="eastAsia" w:ascii="宋体" w:hAnsi="宋体" w:cs="宋体"/>
          <w:b/>
          <w:sz w:val="24"/>
          <w:highlight w:val="none"/>
        </w:rPr>
        <w:t>终止，则投资者将面临提前终止再投资</w:t>
      </w:r>
      <w:r>
        <w:rPr>
          <w:rFonts w:hint="eastAsia" w:ascii="宋体" w:hAnsi="宋体" w:cs="宋体"/>
          <w:b/>
          <w:sz w:val="24"/>
          <w:highlight w:val="none"/>
          <w:lang w:eastAsia="zh-CN"/>
        </w:rPr>
        <w:t>或延期</w:t>
      </w:r>
      <w:r>
        <w:rPr>
          <w:rFonts w:hint="eastAsia" w:ascii="宋体" w:hAnsi="宋体" w:cs="宋体"/>
          <w:b/>
          <w:sz w:val="24"/>
          <w:highlight w:val="none"/>
          <w:lang w:val="en-US" w:eastAsia="zh-CN"/>
        </w:rPr>
        <w:t>兑付</w:t>
      </w:r>
      <w:r>
        <w:rPr>
          <w:rFonts w:hint="eastAsia" w:ascii="宋体" w:hAnsi="宋体" w:cs="宋体"/>
          <w:b/>
          <w:sz w:val="24"/>
          <w:highlight w:val="none"/>
        </w:rPr>
        <w:t>的风险。</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信息传递风险：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ascii="宋体" w:hAnsi="宋体" w:cs="宋体"/>
          <w:b/>
          <w:sz w:val="24"/>
          <w:highlight w:val="none"/>
          <w:lang w:val="en-US" w:eastAsia="zh-CN"/>
        </w:rPr>
        <w:t>理</w:t>
      </w:r>
      <w:r>
        <w:rPr>
          <w:rFonts w:hint="eastAsia" w:ascii="宋体" w:hAnsi="宋体" w:cs="宋体"/>
          <w:b/>
          <w:sz w:val="24"/>
          <w:highlight w:val="none"/>
        </w:rPr>
        <w:t>财计划本金或收益蒙受部分或全部损失的风险。</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建仓期风险：如理财计划设置建仓期，则在建仓期内理财计划的投资比例可能无法满足约定的投资比例限制，从而影响对理财计划收益产生影响。</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rPr>
        <w:t>代销风险：本理财计划通过代销渠道销售，投资者认/申购理财计划的资金由销售机构从投资者资金账户扣收；理财计划到期/赎回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jc w:val="left"/>
        <w:rPr>
          <w:rFonts w:ascii="宋体" w:hAnsi="宋体" w:cs="宋体"/>
          <w:b/>
          <w:sz w:val="24"/>
          <w:highlight w:val="none"/>
        </w:rPr>
      </w:pPr>
      <w:r>
        <w:rPr>
          <w:rFonts w:hint="eastAsia" w:ascii="宋体" w:hAnsi="宋体" w:cs="宋体"/>
          <w:b/>
          <w:sz w:val="24"/>
          <w:highlight w:val="none"/>
          <w:lang w:val="en-US" w:eastAsia="zh-CN"/>
        </w:rPr>
        <w:t>不同理财计划份额差异化风险：管理人可根据投资者购买理财计划的金额、销售渠道等因素，对投资者所持有的理财计划设置不同理财计划份额类别。不同类别的理财计划份额在销售名称、收费方式、销售服务费、销售代码、销售对象、销售起点金额（包括认购、申购等）、认申购和赎回的数量限额、持有理财计划的最高和最低限额、计算和公告理财计划份额净值方面等存在差异。</w:t>
      </w:r>
    </w:p>
    <w:p>
      <w:pPr>
        <w:numPr>
          <w:ilvl w:val="0"/>
          <w:numId w:val="4"/>
        </w:numPr>
        <w:spacing w:line="360" w:lineRule="auto"/>
        <w:ind w:firstLine="482" w:firstLineChars="200"/>
        <w:jc w:val="left"/>
        <w:outlineLvl w:val="9"/>
        <w:rPr>
          <w:rFonts w:ascii="宋体" w:hAnsi="宋体" w:cs="宋体"/>
          <w:b/>
          <w:sz w:val="24"/>
          <w:highlight w:val="none"/>
        </w:rPr>
      </w:pPr>
      <w:r>
        <w:rPr>
          <w:rFonts w:ascii="宋体" w:hAnsi="宋体" w:cs="宋体"/>
          <w:b/>
          <w:sz w:val="24"/>
          <w:highlight w:val="none"/>
        </w:rPr>
        <w:t>关联关系风险：本理财</w:t>
      </w:r>
      <w:r>
        <w:rPr>
          <w:rFonts w:hint="eastAsia" w:ascii="宋体" w:hAnsi="宋体" w:cs="宋体"/>
          <w:b/>
          <w:sz w:val="24"/>
          <w:highlight w:val="none"/>
          <w:lang w:eastAsia="zh-CN"/>
        </w:rPr>
        <w:t>计划</w:t>
      </w:r>
      <w:r>
        <w:rPr>
          <w:rFonts w:ascii="宋体" w:hAnsi="宋体" w:cs="宋体"/>
          <w:b/>
          <w:sz w:val="24"/>
          <w:highlight w:val="none"/>
        </w:rPr>
        <w:t>销售机构</w:t>
      </w:r>
      <w:r>
        <w:rPr>
          <w:rFonts w:hint="eastAsia" w:ascii="宋体" w:hAnsi="宋体" w:cs="宋体"/>
          <w:b/>
          <w:sz w:val="24"/>
          <w:highlight w:val="none"/>
          <w:lang w:eastAsia="zh-CN"/>
        </w:rPr>
        <w:t>之一</w:t>
      </w:r>
      <w:r>
        <w:rPr>
          <w:rFonts w:ascii="宋体" w:hAnsi="宋体" w:cs="宋体"/>
          <w:b/>
          <w:sz w:val="24"/>
          <w:highlight w:val="none"/>
        </w:rPr>
        <w:t>为杭州银行股份有限公司，杭银理财系杭州银行全资子公司，双方存在关联关系。杭州银行作为本理财</w:t>
      </w:r>
      <w:r>
        <w:rPr>
          <w:rFonts w:hint="eastAsia" w:ascii="宋体" w:hAnsi="宋体" w:cs="宋体"/>
          <w:b/>
          <w:sz w:val="24"/>
          <w:highlight w:val="none"/>
          <w:lang w:eastAsia="zh-CN"/>
        </w:rPr>
        <w:t>计划</w:t>
      </w:r>
      <w:r>
        <w:rPr>
          <w:rFonts w:ascii="宋体" w:hAnsi="宋体" w:cs="宋体"/>
          <w:b/>
          <w:sz w:val="24"/>
          <w:highlight w:val="none"/>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sz w:val="24"/>
          <w:highlight w:val="none"/>
          <w:lang w:eastAsia="zh-CN"/>
        </w:rPr>
        <w:t>理财计划</w:t>
      </w:r>
      <w:r>
        <w:rPr>
          <w:rFonts w:ascii="宋体" w:hAnsi="宋体" w:cs="宋体"/>
          <w:b/>
          <w:sz w:val="24"/>
          <w:highlight w:val="none"/>
        </w:rPr>
        <w:t>收益，不承担</w:t>
      </w:r>
      <w:r>
        <w:rPr>
          <w:rFonts w:hint="eastAsia" w:ascii="宋体" w:hAnsi="宋体" w:cs="宋体"/>
          <w:b/>
          <w:sz w:val="24"/>
          <w:highlight w:val="none"/>
          <w:lang w:eastAsia="zh-CN"/>
        </w:rPr>
        <w:t>理财计划</w:t>
      </w:r>
      <w:r>
        <w:rPr>
          <w:rFonts w:ascii="宋体" w:hAnsi="宋体" w:cs="宋体"/>
          <w:b/>
          <w:sz w:val="24"/>
          <w:highlight w:val="none"/>
        </w:rPr>
        <w:t>的投资、兑付和风险管理责任。</w:t>
      </w:r>
    </w:p>
    <w:p>
      <w:pPr>
        <w:numPr>
          <w:ilvl w:val="0"/>
          <w:numId w:val="1"/>
        </w:numPr>
        <w:spacing w:line="360" w:lineRule="auto"/>
        <w:jc w:val="left"/>
        <w:outlineLvl w:val="2"/>
        <w:rPr>
          <w:rFonts w:ascii="宋体" w:hAnsi="宋体" w:cs="宋体"/>
          <w:b/>
          <w:sz w:val="24"/>
          <w:highlight w:val="none"/>
        </w:rPr>
      </w:pPr>
      <w:r>
        <w:rPr>
          <w:rFonts w:hint="eastAsia" w:ascii="宋体" w:hAnsi="宋体" w:cs="宋体"/>
          <w:b/>
          <w:sz w:val="24"/>
          <w:highlight w:val="none"/>
        </w:rPr>
        <w:t>理财计划特定风险</w:t>
      </w:r>
    </w:p>
    <w:p>
      <w:pPr>
        <w:numPr>
          <w:ilvl w:val="0"/>
          <w:numId w:val="5"/>
        </w:numPr>
        <w:spacing w:line="360" w:lineRule="auto"/>
        <w:jc w:val="left"/>
        <w:rPr>
          <w:rFonts w:ascii="宋体" w:hAnsi="宋体" w:cs="宋体"/>
          <w:b/>
          <w:sz w:val="24"/>
          <w:highlight w:val="none"/>
        </w:rPr>
      </w:pPr>
      <w:r>
        <w:rPr>
          <w:rFonts w:hint="eastAsia" w:ascii="宋体" w:hAnsi="宋体" w:cs="宋体"/>
          <w:b/>
          <w:sz w:val="24"/>
          <w:highlight w:val="none"/>
          <w:lang w:val="en-US" w:eastAsia="zh-CN"/>
        </w:rPr>
        <w:t>国内上市优先股资产风险：本理财计划所投优先股资产，由于受到发行人的经营状况、信用评级下降或资产交易市场不活跃等因素的影响，存在因市场风险、信用风险、流动性风险等引起的资产价值波动，</w:t>
      </w:r>
      <w:r>
        <w:rPr>
          <w:rFonts w:hint="eastAsia" w:ascii="宋体" w:hAnsi="宋体" w:cs="宋体"/>
          <w:b/>
          <w:sz w:val="24"/>
          <w:highlight w:val="none"/>
        </w:rPr>
        <w:t>投资者的本金可能会出现损失。</w:t>
      </w:r>
    </w:p>
    <w:p>
      <w:pPr>
        <w:numPr>
          <w:ilvl w:val="0"/>
          <w:numId w:val="5"/>
        </w:numPr>
        <w:spacing w:line="360" w:lineRule="auto"/>
        <w:jc w:val="left"/>
        <w:rPr>
          <w:rFonts w:ascii="宋体" w:hAnsi="宋体" w:cs="宋体"/>
          <w:b/>
          <w:sz w:val="24"/>
          <w:highlight w:val="none"/>
        </w:rPr>
      </w:pPr>
      <w:r>
        <w:rPr>
          <w:rFonts w:hint="eastAsia" w:ascii="宋体" w:hAnsi="宋体" w:cs="宋体"/>
          <w:b/>
          <w:sz w:val="24"/>
          <w:highlight w:val="none"/>
        </w:rPr>
        <w:t>收益不达业绩比较基准风险：本理财计划每日开放，下一交易日确认，投资收益与投资者的申购、赎回时点密切相关，收益存在一定的波动性，投资者的本金可能会出现损失。</w:t>
      </w:r>
    </w:p>
    <w:p>
      <w:pPr>
        <w:spacing w:line="360" w:lineRule="auto"/>
        <w:jc w:val="left"/>
        <w:rPr>
          <w:rFonts w:ascii="宋体" w:hAnsi="宋体" w:cs="宋体"/>
          <w:b/>
          <w:sz w:val="24"/>
          <w:highlight w:val="none"/>
        </w:rPr>
      </w:pPr>
      <w:r>
        <w:rPr>
          <w:rFonts w:hint="eastAsia" w:ascii="宋体" w:hAnsi="宋体" w:cs="宋体"/>
          <w:b/>
          <w:sz w:val="24"/>
          <w:highlight w:val="none"/>
        </w:rPr>
        <w:t xml:space="preserve">    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jc w:val="left"/>
        <w:outlineLvl w:val="2"/>
        <w:rPr>
          <w:rFonts w:ascii="宋体" w:hAnsi="宋体" w:cs="宋体"/>
          <w:b/>
          <w:sz w:val="24"/>
          <w:highlight w:val="none"/>
        </w:rPr>
      </w:pPr>
      <w:r>
        <w:rPr>
          <w:rFonts w:hint="eastAsia" w:ascii="宋体" w:hAnsi="宋体" w:cs="宋体"/>
          <w:b/>
          <w:sz w:val="24"/>
          <w:highlight w:val="none"/>
        </w:rPr>
        <w:t>其他信息提示</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jc w:val="left"/>
        <w:rPr>
          <w:rFonts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jc w:val="left"/>
        <w:rPr>
          <w:rFonts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jc w:val="left"/>
        <w:rPr>
          <w:rFonts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jc w:val="left"/>
        <w:rPr>
          <w:rFonts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jc w:val="left"/>
        <w:rPr>
          <w:rFonts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jc w:val="left"/>
        <w:rPr>
          <w:rFonts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240" w:firstLineChars="100"/>
        <w:jc w:val="left"/>
        <w:rPr>
          <w:rFonts w:ascii="宋体" w:hAnsi="宋体" w:cs="宋体"/>
          <w:bCs/>
          <w:sz w:val="24"/>
          <w:highlight w:val="none"/>
        </w:rPr>
      </w:pPr>
    </w:p>
    <w:p>
      <w:p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本理财计划为公募、开放式、〖固定收益类〗净值型理财计划，〖无固定期限〗，不保证本金与收益。根据本公司理财产品内部风险评级，该理财计划风险评级结果为〖R2〗,〖中低〗风险</w:t>
      </w:r>
      <w:r>
        <w:rPr>
          <w:rFonts w:hint="eastAsia" w:ascii="宋体" w:hAnsi="宋体" w:cs="宋体"/>
          <w:bCs/>
          <w:sz w:val="24"/>
          <w:highlight w:val="none"/>
        </w:rPr>
        <w:t>（本风险等级为我公司内部风险评级结果，仅供参考</w:t>
      </w:r>
      <w:r>
        <w:rPr>
          <w:rFonts w:hint="eastAsia" w:ascii="宋体" w:hAnsi="宋体" w:cs="宋体"/>
          <w:b/>
          <w:sz w:val="24"/>
          <w:highlight w:val="none"/>
        </w:rPr>
        <w:t>，</w:t>
      </w:r>
      <w:r>
        <w:rPr>
          <w:rFonts w:hint="eastAsia" w:ascii="宋体" w:hAnsi="宋体" w:cs="宋体"/>
          <w:bCs/>
          <w:sz w:val="24"/>
          <w:highlight w:val="none"/>
        </w:rPr>
        <w:t>理财计划通过代理销售机构渠道销售的，理财计划产品评级应当以代理销售机构最终披露的评级结果为准），</w:t>
      </w:r>
      <w:r>
        <w:rPr>
          <w:rFonts w:hint="eastAsia" w:ascii="宋体" w:hAnsi="宋体" w:cs="宋体"/>
          <w:b/>
          <w:sz w:val="24"/>
          <w:highlight w:val="none"/>
        </w:rPr>
        <w:t>总体风险〖程度较低，收益波动较小，虽然存在一些可能对产品本金和收益安全产生不利影响的因素，但产品本金出现损失的可能性很小〗。</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本理财计划适合〖机构投资者〗以及〖稳健型、平衡型、成长型、进取型〗的个人投资者</w:t>
      </w:r>
      <w:r>
        <w:rPr>
          <w:rFonts w:hint="eastAsia" w:ascii="宋体" w:hAnsi="宋体" w:cs="宋体"/>
          <w:b/>
          <w:sz w:val="24"/>
          <w:highlight w:val="none"/>
          <w:lang w:eastAsia="zh-CN"/>
        </w:rPr>
        <w:t>，</w:t>
      </w:r>
      <w:r>
        <w:rPr>
          <w:rFonts w:hint="eastAsia" w:ascii="宋体" w:hAnsi="宋体" w:cs="宋体"/>
          <w:b/>
          <w:sz w:val="24"/>
          <w:highlight w:val="none"/>
        </w:rPr>
        <w:t>个人投资者的风险承受能力评估以销售机构为准。</w:t>
      </w:r>
      <w:r>
        <w:rPr>
          <w:rFonts w:hint="eastAsia" w:ascii="宋体" w:hAnsi="宋体" w:cs="宋体"/>
          <w:bCs/>
          <w:sz w:val="24"/>
          <w:highlight w:val="none"/>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上述风险客观存在，敬请投资者予以充分关注！</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理财计划管理人有权按照国内外反洗钱相关适用的法律法规和监管要求，从销售机构获得相应必要的投资者身份信息并报送投资者身份信息及其持有理财产品信息。销售机构将在合法、合理且必要时向管理人提供投资者身份识别信息（投资者身份识别信息包括但不限于：投资者的姓名、性别、国籍、职业、住所地或者工作单位地址、常居地地址、联系方式、身份证明文件的种类、号码和有效期限、代理人信息、受益所有人信息），以及在合法、合理且必要时进一步提供身份证明文件的复印件和影印件以及其他必要信息。投资者签署后即表示同意并配合提供前述信息。</w:t>
      </w:r>
    </w:p>
    <w:p>
      <w:pPr>
        <w:spacing w:line="360" w:lineRule="auto"/>
        <w:ind w:firstLine="480" w:firstLineChars="200"/>
        <w:jc w:val="left"/>
        <w:rPr>
          <w:rFonts w:ascii="宋体" w:hAnsi="宋体" w:cs="宋体"/>
          <w:bCs/>
          <w:sz w:val="24"/>
          <w:highlight w:val="none"/>
        </w:rPr>
      </w:pPr>
    </w:p>
    <w:p>
      <w:pPr>
        <w:spacing w:line="360" w:lineRule="auto"/>
        <w:ind w:firstLine="480" w:firstLineChars="200"/>
        <w:jc w:val="left"/>
        <w:rPr>
          <w:rFonts w:ascii="宋体" w:hAnsi="宋体" w:cs="宋体"/>
          <w:bCs/>
          <w:sz w:val="24"/>
          <w:highlight w:val="none"/>
        </w:rPr>
      </w:pPr>
    </w:p>
    <w:p>
      <w:pPr>
        <w:spacing w:line="360" w:lineRule="auto"/>
        <w:ind w:firstLine="480" w:firstLineChars="200"/>
        <w:jc w:val="right"/>
        <w:rPr>
          <w:rFonts w:ascii="宋体" w:hAnsi="宋体" w:cs="宋体"/>
          <w:bCs/>
          <w:sz w:val="24"/>
          <w:highlight w:val="none"/>
        </w:rPr>
      </w:pPr>
      <w:r>
        <w:rPr>
          <w:rFonts w:hint="eastAsia" w:ascii="宋体" w:hAnsi="宋体" w:cs="宋体"/>
          <w:bCs/>
          <w:sz w:val="24"/>
          <w:highlight w:val="none"/>
        </w:rPr>
        <w:t>风险提示方：杭银理财有限责任公司</w:t>
      </w:r>
    </w:p>
    <w:p>
      <w:pPr>
        <w:spacing w:line="360" w:lineRule="auto"/>
        <w:ind w:firstLine="480" w:firstLineChars="200"/>
        <w:jc w:val="right"/>
        <w:rPr>
          <w:rFonts w:ascii="宋体" w:hAnsi="宋体" w:cs="宋体"/>
          <w:bCs/>
          <w:sz w:val="24"/>
          <w:highlight w:val="none"/>
        </w:rPr>
      </w:pPr>
    </w:p>
    <w:p>
      <w:pPr>
        <w:spacing w:line="360" w:lineRule="auto"/>
        <w:ind w:firstLine="480" w:firstLineChars="200"/>
        <w:jc w:val="right"/>
        <w:rPr>
          <w:rFonts w:ascii="宋体" w:hAnsi="宋体" w:cs="宋体"/>
          <w:bCs/>
          <w:sz w:val="24"/>
          <w:highlight w:val="none"/>
        </w:rPr>
      </w:pPr>
    </w:p>
    <w:p>
      <w:pPr>
        <w:spacing w:line="360" w:lineRule="auto"/>
        <w:ind w:firstLine="480" w:firstLineChars="200"/>
        <w:jc w:val="right"/>
        <w:rPr>
          <w:rFonts w:ascii="宋体" w:hAnsi="宋体" w:cs="宋体"/>
          <w:bCs/>
          <w:sz w:val="24"/>
          <w:highlight w:val="none"/>
        </w:rPr>
      </w:pPr>
    </w:p>
    <w:p>
      <w:pPr>
        <w:spacing w:line="360" w:lineRule="auto"/>
        <w:ind w:firstLine="480" w:firstLineChars="200"/>
        <w:jc w:val="right"/>
        <w:rPr>
          <w:rFonts w:ascii="宋体" w:hAnsi="宋体" w:cs="宋体"/>
          <w:bCs/>
          <w:sz w:val="24"/>
          <w:highlight w:val="none"/>
        </w:rPr>
      </w:pPr>
    </w:p>
    <w:p>
      <w:pPr>
        <w:spacing w:line="360" w:lineRule="auto"/>
        <w:rPr>
          <w:rFonts w:ascii="宋体" w:hAnsi="宋体" w:cs="宋体"/>
          <w:bCs/>
          <w:sz w:val="24"/>
          <w:highlight w:val="none"/>
        </w:rPr>
      </w:pPr>
    </w:p>
    <w:p>
      <w:pPr>
        <w:pStyle w:val="18"/>
        <w:spacing w:line="360" w:lineRule="auto"/>
        <w:jc w:val="center"/>
        <w:rPr>
          <w:rFonts w:hint="eastAsia" w:ascii="宋体" w:hAnsi="宋体" w:cs="宋体"/>
          <w:b/>
          <w:color w:val="auto"/>
          <w:highlight w:val="none"/>
        </w:rPr>
      </w:pPr>
    </w:p>
    <w:p>
      <w:pPr>
        <w:pStyle w:val="18"/>
        <w:spacing w:line="360" w:lineRule="auto"/>
        <w:jc w:val="center"/>
        <w:rPr>
          <w:rFonts w:hint="eastAsia" w:ascii="宋体" w:hAnsi="宋体" w:cs="宋体"/>
          <w:b/>
          <w:color w:val="auto"/>
          <w:highlight w:val="none"/>
        </w:rPr>
      </w:pPr>
    </w:p>
    <w:p>
      <w:pPr>
        <w:pStyle w:val="18"/>
        <w:spacing w:line="360" w:lineRule="auto"/>
        <w:jc w:val="center"/>
        <w:rPr>
          <w:rFonts w:hint="eastAsia" w:ascii="宋体" w:hAnsi="宋体" w:cs="宋体"/>
          <w:b/>
          <w:color w:val="auto"/>
          <w:highlight w:val="none"/>
        </w:rPr>
      </w:pPr>
    </w:p>
    <w:p>
      <w:pPr>
        <w:pStyle w:val="18"/>
        <w:spacing w:line="360" w:lineRule="auto"/>
        <w:jc w:val="center"/>
        <w:rPr>
          <w:rFonts w:hint="eastAsia" w:ascii="宋体" w:hAnsi="宋体" w:cs="宋体"/>
          <w:b/>
          <w:color w:val="auto"/>
          <w:highlight w:val="none"/>
        </w:rPr>
      </w:pPr>
    </w:p>
    <w:p>
      <w:pPr>
        <w:pStyle w:val="18"/>
        <w:spacing w:line="360" w:lineRule="auto"/>
        <w:jc w:val="center"/>
        <w:rPr>
          <w:rFonts w:hint="eastAsia" w:ascii="宋体" w:hAnsi="宋体" w:cs="宋体"/>
          <w:b/>
          <w:color w:val="auto"/>
          <w:highlight w:val="none"/>
        </w:rPr>
      </w:pPr>
    </w:p>
    <w:p>
      <w:pPr>
        <w:pStyle w:val="18"/>
        <w:spacing w:line="360" w:lineRule="auto"/>
        <w:jc w:val="center"/>
        <w:rPr>
          <w:rFonts w:hint="eastAsia" w:ascii="宋体" w:hAnsi="宋体" w:cs="宋体"/>
          <w:b/>
          <w:color w:val="auto"/>
          <w:highlight w:val="none"/>
        </w:rPr>
      </w:pPr>
    </w:p>
    <w:p>
      <w:pPr>
        <w:pStyle w:val="18"/>
        <w:spacing w:line="360" w:lineRule="auto"/>
        <w:jc w:val="center"/>
        <w:rPr>
          <w:rFonts w:hint="eastAsia" w:ascii="宋体" w:hAnsi="宋体" w:cs="宋体"/>
          <w:b/>
          <w:color w:val="auto"/>
          <w:highlight w:val="none"/>
        </w:rPr>
      </w:pPr>
    </w:p>
    <w:p>
      <w:pPr>
        <w:pStyle w:val="18"/>
        <w:spacing w:line="360" w:lineRule="auto"/>
        <w:jc w:val="center"/>
        <w:rPr>
          <w:rFonts w:hint="eastAsia" w:ascii="宋体" w:hAnsi="宋体" w:cs="宋体"/>
          <w:b/>
          <w:color w:val="auto"/>
          <w:highlight w:val="none"/>
        </w:rPr>
      </w:pPr>
    </w:p>
    <w:p>
      <w:pPr>
        <w:pStyle w:val="18"/>
        <w:spacing w:line="360" w:lineRule="auto"/>
        <w:jc w:val="center"/>
        <w:rPr>
          <w:rFonts w:hint="eastAsia" w:ascii="宋体" w:hAnsi="宋体" w:cs="宋体"/>
          <w:b/>
          <w:color w:val="auto"/>
          <w:highlight w:val="none"/>
        </w:rPr>
      </w:pPr>
    </w:p>
    <w:p>
      <w:pPr>
        <w:pStyle w:val="18"/>
        <w:spacing w:line="360" w:lineRule="auto"/>
        <w:jc w:val="center"/>
        <w:rPr>
          <w:rFonts w:hint="eastAsia" w:ascii="宋体" w:hAnsi="宋体" w:cs="宋体"/>
          <w:b/>
          <w:color w:val="auto"/>
          <w:highlight w:val="none"/>
        </w:rPr>
      </w:pPr>
    </w:p>
    <w:p>
      <w:pPr>
        <w:pStyle w:val="18"/>
        <w:spacing w:line="360" w:lineRule="auto"/>
        <w:jc w:val="center"/>
        <w:rPr>
          <w:rFonts w:hint="eastAsia" w:ascii="宋体" w:hAnsi="宋体" w:cs="宋体"/>
          <w:b/>
          <w:color w:val="auto"/>
          <w:highlight w:val="none"/>
        </w:rPr>
      </w:pPr>
    </w:p>
    <w:p>
      <w:pPr>
        <w:pStyle w:val="18"/>
        <w:spacing w:line="360" w:lineRule="auto"/>
        <w:jc w:val="center"/>
        <w:rPr>
          <w:rFonts w:hint="eastAsia" w:ascii="宋体" w:hAnsi="宋体" w:cs="宋体"/>
          <w:b/>
          <w:color w:val="auto"/>
          <w:highlight w:val="none"/>
        </w:rPr>
      </w:pPr>
    </w:p>
    <w:p>
      <w:pPr>
        <w:pStyle w:val="18"/>
        <w:spacing w:line="360" w:lineRule="auto"/>
        <w:jc w:val="center"/>
        <w:rPr>
          <w:rFonts w:hint="eastAsia" w:ascii="宋体" w:hAnsi="宋体" w:cs="宋体"/>
          <w:b/>
          <w:color w:val="auto"/>
          <w:highlight w:val="none"/>
        </w:rPr>
      </w:pPr>
    </w:p>
    <w:p>
      <w:pPr>
        <w:pStyle w:val="18"/>
        <w:spacing w:line="360" w:lineRule="auto"/>
        <w:jc w:val="center"/>
        <w:rPr>
          <w:rFonts w:hint="eastAsia" w:ascii="宋体" w:hAnsi="宋体" w:cs="宋体"/>
          <w:b/>
          <w:color w:val="auto"/>
          <w:highlight w:val="none"/>
        </w:rPr>
      </w:pPr>
    </w:p>
    <w:p>
      <w:pPr>
        <w:pStyle w:val="18"/>
        <w:spacing w:line="360" w:lineRule="auto"/>
        <w:jc w:val="center"/>
        <w:rPr>
          <w:rFonts w:hint="eastAsia" w:ascii="宋体" w:hAnsi="宋体" w:cs="宋体"/>
          <w:b/>
          <w:color w:val="auto"/>
          <w:highlight w:val="none"/>
        </w:rPr>
      </w:pPr>
    </w:p>
    <w:p>
      <w:pPr>
        <w:pStyle w:val="18"/>
        <w:spacing w:line="360" w:lineRule="auto"/>
        <w:jc w:val="center"/>
        <w:rPr>
          <w:rFonts w:hint="eastAsia" w:ascii="宋体" w:hAnsi="宋体" w:cs="宋体"/>
          <w:b/>
          <w:color w:val="auto"/>
          <w:highlight w:val="none"/>
        </w:rPr>
      </w:pPr>
    </w:p>
    <w:p>
      <w:pPr>
        <w:pStyle w:val="18"/>
        <w:spacing w:line="360" w:lineRule="auto"/>
        <w:jc w:val="center"/>
        <w:rPr>
          <w:rFonts w:hint="eastAsia" w:ascii="宋体" w:hAnsi="宋体" w:cs="宋体"/>
          <w:b/>
          <w:color w:val="auto"/>
          <w:highlight w:val="none"/>
        </w:rPr>
      </w:pPr>
    </w:p>
    <w:p>
      <w:pPr>
        <w:pStyle w:val="18"/>
        <w:spacing w:line="360" w:lineRule="auto"/>
        <w:jc w:val="center"/>
        <w:rPr>
          <w:rFonts w:hint="eastAsia" w:ascii="宋体" w:hAnsi="宋体" w:cs="宋体"/>
          <w:b/>
          <w:color w:val="auto"/>
          <w:highlight w:val="none"/>
        </w:rPr>
      </w:pPr>
    </w:p>
    <w:p>
      <w:pPr>
        <w:pStyle w:val="18"/>
        <w:spacing w:line="360" w:lineRule="auto"/>
        <w:jc w:val="center"/>
        <w:outlineLvl w:val="2"/>
        <w:rPr>
          <w:rFonts w:hint="eastAsia" w:ascii="宋体" w:hAnsi="宋体" w:cs="宋体"/>
          <w:b/>
          <w:color w:val="auto"/>
          <w:highlight w:val="none"/>
        </w:rPr>
      </w:pPr>
      <w:r>
        <w:rPr>
          <w:rFonts w:hint="eastAsia" w:ascii="宋体" w:hAnsi="宋体" w:cs="宋体"/>
          <w:b/>
          <w:color w:val="auto"/>
          <w:highlight w:val="none"/>
        </w:rPr>
        <w:t>投资者确认栏（个人投资者填写）</w:t>
      </w:r>
    </w:p>
    <w:p>
      <w:pPr>
        <w:pStyle w:val="18"/>
        <w:spacing w:line="360" w:lineRule="auto"/>
        <w:jc w:val="center"/>
        <w:rPr>
          <w:rFonts w:hint="eastAsia" w:ascii="宋体" w:hAnsi="宋体" w:cs="宋体"/>
          <w:b/>
          <w:color w:val="auto"/>
          <w:highlight w:val="none"/>
        </w:rPr>
      </w:pPr>
    </w:p>
    <w:p>
      <w:pPr>
        <w:pStyle w:val="18"/>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8"/>
        <w:spacing w:line="360" w:lineRule="auto"/>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8"/>
        <w:spacing w:line="360" w:lineRule="auto"/>
        <w:jc w:val="both"/>
        <w:rPr>
          <w:rFonts w:hint="eastAsia" w:ascii="宋体" w:hAnsi="宋体" w:cs="宋体"/>
          <w:color w:val="auto"/>
          <w:highlight w:val="none"/>
          <w:u w:val="single"/>
        </w:rPr>
      </w:pPr>
      <w:r>
        <w:rPr>
          <w:rFonts w:hint="eastAsia" w:ascii="宋体" w:hAnsi="宋体" w:cs="宋体"/>
          <w:color w:val="auto"/>
          <w:highlight w:val="none"/>
          <w:u w:val="single"/>
        </w:rPr>
        <w:t xml:space="preserve">    如超过一年未进行风险承受能力评估或影响本人风险承受能力的因素发生变化，本人将于再次购买理财计划时及时完成风险承受能力评估。</w:t>
      </w:r>
    </w:p>
    <w:p>
      <w:pPr>
        <w:pStyle w:val="18"/>
        <w:spacing w:line="360" w:lineRule="auto"/>
        <w:jc w:val="both"/>
        <w:rPr>
          <w:rFonts w:hint="eastAsia" w:ascii="宋体" w:hAnsi="宋体" w:cs="宋体"/>
          <w:b/>
          <w:bCs/>
          <w:color w:val="auto"/>
          <w:highlight w:val="none"/>
          <w:u w:val="single"/>
        </w:rPr>
      </w:pPr>
      <w:r>
        <w:rPr>
          <w:rFonts w:hint="eastAsia" w:ascii="宋体" w:hAnsi="宋体" w:cs="宋体"/>
          <w:b/>
          <w:bCs/>
          <w:color w:val="auto"/>
          <w:highlight w:val="none"/>
          <w:u w:val="single"/>
        </w:rPr>
        <w:t xml:space="preserve">    声明：本人已经认真阅读本风险揭示书以及《理财计划产品说明书》《投资者权益须知》《理财计划投资协议书》《理财计划销售协议书》，已对其作全面、准确的理解，充分认识到投资本理财计划要求承担的风险，接受本风险揭示书及《理财计划产品说明书》《投资者权益须知》《理财计划投资协议书》《理财计划销售协议书》等本理财计划合同全部内容，自愿且有能力承担投资本理财计划的风险。</w:t>
      </w:r>
    </w:p>
    <w:p>
      <w:pPr>
        <w:pStyle w:val="18"/>
        <w:spacing w:line="360" w:lineRule="auto"/>
        <w:jc w:val="both"/>
        <w:rPr>
          <w:rFonts w:hint="eastAsia" w:ascii="宋体" w:hAnsi="宋体" w:cs="宋体"/>
          <w:b/>
          <w:bCs/>
          <w:color w:val="auto"/>
          <w:highlight w:val="none"/>
          <w:u w:val="single"/>
        </w:rPr>
      </w:pPr>
      <w:r>
        <w:rPr>
          <w:rFonts w:hint="eastAsia" w:ascii="宋体" w:hAnsi="宋体" w:cs="宋体"/>
          <w:b/>
          <w:bCs/>
          <w:color w:val="auto"/>
          <w:highlight w:val="none"/>
          <w:u w:val="single"/>
        </w:rPr>
        <w:t xml:space="preserve">    本人购买本理财计划的资金为合法自有资金，不存在使用借款、贷款等非自有资金的情形；且系为合法目的投资本理财计划，而非为洗钱等违法违规之目的，本人将配合管理人或销售机构开展客户身份识别及尽职调查、反恐怖融资以及非居民金融账户尽职调查等，及时、真实、准确提供身份信息及资金来源信息。</w:t>
      </w:r>
    </w:p>
    <w:p>
      <w:pPr>
        <w:pStyle w:val="18"/>
        <w:spacing w:line="360" w:lineRule="auto"/>
        <w:ind w:firstLine="480" w:firstLineChars="20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 xml:space="preserve">“本人已经阅读上述风险揭示，愿意承担投资风险。”） </w:t>
      </w:r>
      <w:r>
        <w:rPr>
          <w:rFonts w:hint="eastAsia" w:ascii="宋体" w:hAnsi="宋体" w:cs="宋体"/>
          <w:b/>
          <w:color w:val="auto"/>
          <w:highlight w:val="none"/>
          <w:lang w:eastAsia="zh-CN"/>
        </w:rPr>
        <w:t>如通过线上渠道购买，认</w:t>
      </w:r>
      <w:r>
        <w:rPr>
          <w:rFonts w:hint="eastAsia" w:ascii="宋体" w:hAnsi="宋体" w:cs="宋体"/>
          <w:b/>
          <w:color w:val="auto"/>
          <w:highlight w:val="none"/>
          <w:lang w:val="en-US" w:eastAsia="zh-CN"/>
        </w:rPr>
        <w:t>/申购交易确认即视为投资者同意自身风险承受能力等级并确认风险揭示内容，愿意承担投资风险，与书面签署具有同等效力。</w:t>
      </w:r>
      <w:r>
        <w:rPr>
          <w:rFonts w:hint="eastAsia" w:ascii="宋体" w:hAnsi="宋体" w:cs="宋体"/>
          <w:b/>
          <w:color w:val="auto"/>
          <w:highlight w:val="none"/>
        </w:rPr>
        <w:t xml:space="preserve">） </w:t>
      </w:r>
    </w:p>
    <w:p>
      <w:pPr>
        <w:pStyle w:val="18"/>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pStyle w:val="18"/>
        <w:spacing w:line="360" w:lineRule="auto"/>
        <w:jc w:val="both"/>
        <w:rPr>
          <w:rFonts w:hint="eastAsia" w:ascii="宋体" w:hAnsi="宋体" w:cs="宋体"/>
          <w:color w:val="auto"/>
          <w:highlight w:val="none"/>
        </w:rPr>
      </w:pP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snapToGrid w:val="0"/>
        <w:rPr>
          <w:rFonts w:hint="eastAsia" w:ascii="宋体" w:hAnsi="宋体"/>
          <w:kern w:val="0"/>
          <w:szCs w:val="21"/>
          <w:highlight w:val="none"/>
          <w:u w:val="single"/>
        </w:rPr>
      </w:pPr>
    </w:p>
    <w:p>
      <w:pPr>
        <w:autoSpaceDE w:val="0"/>
        <w:autoSpaceDN w:val="0"/>
        <w:adjustRightInd w:val="0"/>
        <w:spacing w:line="420" w:lineRule="exact"/>
        <w:jc w:val="center"/>
        <w:rPr>
          <w:rFonts w:hint="eastAsia" w:ascii="宋体" w:hAnsi="宋体"/>
          <w:b/>
          <w:kern w:val="0"/>
          <w:szCs w:val="21"/>
          <w:highlight w:val="none"/>
        </w:rPr>
      </w:pPr>
    </w:p>
    <w:p>
      <w:pPr>
        <w:autoSpaceDE w:val="0"/>
        <w:autoSpaceDN w:val="0"/>
        <w:adjustRightInd w:val="0"/>
        <w:spacing w:line="360" w:lineRule="auto"/>
        <w:jc w:val="center"/>
        <w:rPr>
          <w:rFonts w:hint="eastAsia" w:ascii="宋体" w:hAnsi="宋体"/>
          <w:b/>
          <w:kern w:val="0"/>
          <w:szCs w:val="21"/>
          <w:highlight w:val="none"/>
        </w:rPr>
      </w:pPr>
    </w:p>
    <w:p>
      <w:pPr>
        <w:pStyle w:val="18"/>
        <w:spacing w:line="360" w:lineRule="auto"/>
        <w:jc w:val="center"/>
        <w:rPr>
          <w:rFonts w:hint="eastAsia" w:ascii="宋体" w:hAnsi="宋体" w:cs="宋体"/>
          <w:b/>
          <w:color w:val="auto"/>
          <w:highlight w:val="none"/>
        </w:rPr>
      </w:pPr>
    </w:p>
    <w:p>
      <w:pPr>
        <w:pStyle w:val="18"/>
        <w:spacing w:line="360" w:lineRule="auto"/>
        <w:jc w:val="center"/>
        <w:rPr>
          <w:rFonts w:hint="eastAsia" w:ascii="宋体" w:hAnsi="宋体" w:cs="宋体"/>
          <w:b/>
          <w:color w:val="auto"/>
          <w:highlight w:val="none"/>
        </w:rPr>
      </w:pPr>
    </w:p>
    <w:p>
      <w:pPr>
        <w:pStyle w:val="18"/>
        <w:spacing w:line="360" w:lineRule="auto"/>
        <w:jc w:val="center"/>
        <w:outlineLvl w:val="2"/>
        <w:rPr>
          <w:rFonts w:hint="eastAsia" w:ascii="宋体" w:hAnsi="宋体" w:cs="宋体"/>
          <w:b/>
          <w:highlight w:val="none"/>
        </w:rPr>
      </w:pPr>
      <w:r>
        <w:rPr>
          <w:rFonts w:hint="eastAsia" w:ascii="宋体" w:hAnsi="宋体" w:cs="宋体"/>
          <w:b/>
          <w:color w:val="auto"/>
          <w:highlight w:val="none"/>
        </w:rPr>
        <w:t>投资者确认栏（机构投资者）</w:t>
      </w:r>
    </w:p>
    <w:p>
      <w:pPr>
        <w:pStyle w:val="18"/>
        <w:spacing w:line="360" w:lineRule="auto"/>
        <w:jc w:val="center"/>
        <w:rPr>
          <w:rFonts w:hint="eastAsia" w:ascii="宋体" w:hAnsi="宋体" w:cs="宋体"/>
          <w:b/>
          <w:highlight w:val="none"/>
        </w:rPr>
      </w:pPr>
    </w:p>
    <w:p>
      <w:pPr>
        <w:widowControl/>
        <w:spacing w:line="360" w:lineRule="auto"/>
        <w:contextualSpacing/>
        <w:outlineLvl w:val="9"/>
        <w:rPr>
          <w:rFonts w:hint="eastAsia" w:ascii="宋体" w:hAnsi="宋体" w:cs="宋体"/>
          <w:b/>
          <w:bCs/>
          <w:sz w:val="24"/>
          <w:highlight w:val="none"/>
        </w:rPr>
      </w:pPr>
      <w:r>
        <w:rPr>
          <w:rFonts w:hint="eastAsia" w:ascii="宋体" w:hAnsi="宋体" w:cs="宋体"/>
          <w:b/>
          <w:bCs/>
          <w:sz w:val="24"/>
          <w:highlight w:val="none"/>
        </w:rPr>
        <w:t xml:space="preserve">    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cs="宋体"/>
          <w:b/>
          <w:bCs/>
          <w:sz w:val="24"/>
          <w:highlight w:val="none"/>
          <w:u w:val="single"/>
        </w:rPr>
        <w:t>接受本风险揭示书及《理财计划产品说明书》《投资者权益须知》《理财计划投资协议书》《理财计划销售协议书》等本理财计划合同全部内容，</w:t>
      </w:r>
      <w:r>
        <w:rPr>
          <w:rFonts w:hint="eastAsia" w:ascii="宋体" w:hAnsi="宋体" w:cs="宋体"/>
          <w:b/>
          <w:bCs/>
          <w:sz w:val="24"/>
          <w:highlight w:val="none"/>
        </w:rPr>
        <w:t>自愿且有能力承担</w:t>
      </w:r>
      <w:r>
        <w:rPr>
          <w:rFonts w:hint="eastAsia" w:ascii="宋体" w:hAnsi="宋体" w:cs="宋体"/>
          <w:b/>
          <w:bCs/>
          <w:sz w:val="24"/>
          <w:highlight w:val="none"/>
          <w:u w:val="single"/>
        </w:rPr>
        <w:t>投资本理财计划的</w:t>
      </w:r>
      <w:r>
        <w:rPr>
          <w:rFonts w:hint="eastAsia" w:ascii="宋体" w:hAnsi="宋体" w:cs="宋体"/>
          <w:b/>
          <w:bCs/>
          <w:sz w:val="24"/>
          <w:highlight w:val="none"/>
        </w:rPr>
        <w:t>风险。</w:t>
      </w:r>
    </w:p>
    <w:p>
      <w:pPr>
        <w:widowControl/>
        <w:spacing w:line="360" w:lineRule="auto"/>
        <w:contextualSpacing/>
        <w:outlineLvl w:val="9"/>
        <w:rPr>
          <w:rFonts w:ascii="宋体" w:hAnsi="宋体" w:cs="宋体"/>
          <w:sz w:val="24"/>
          <w:highlight w:val="none"/>
        </w:rPr>
      </w:pPr>
      <w:r>
        <w:rPr>
          <w:rFonts w:hint="eastAsia" w:ascii="宋体" w:hAnsi="宋体" w:cs="宋体"/>
          <w:b/>
          <w:bCs/>
          <w:sz w:val="24"/>
          <w:highlight w:val="none"/>
        </w:rPr>
        <w:t xml:space="preserve">    </w:t>
      </w:r>
      <w:r>
        <w:rPr>
          <w:rFonts w:hint="eastAsia" w:ascii="宋体" w:hAnsi="宋体" w:cs="宋体"/>
          <w:b/>
          <w:bCs/>
          <w:sz w:val="24"/>
          <w:highlight w:val="none"/>
          <w:u w:val="single"/>
        </w:rPr>
        <w:t>本公司/单位</w:t>
      </w:r>
      <w:r>
        <w:rPr>
          <w:rFonts w:hint="eastAsia" w:ascii="宋体" w:hAnsi="宋体" w:cs="宋体"/>
          <w:b/>
          <w:bCs/>
          <w:sz w:val="24"/>
          <w:highlight w:val="none"/>
          <w:u w:val="single"/>
          <w:lang w:val="en-US" w:eastAsia="zh-CN"/>
        </w:rPr>
        <w:t>购买</w:t>
      </w:r>
      <w:r>
        <w:rPr>
          <w:rFonts w:hint="eastAsia" w:ascii="宋体" w:hAnsi="宋体" w:cs="宋体"/>
          <w:b/>
          <w:bCs/>
          <w:sz w:val="24"/>
          <w:highlight w:val="none"/>
          <w:u w:val="single"/>
        </w:rPr>
        <w:t>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widowControl/>
        <w:spacing w:line="360" w:lineRule="auto"/>
        <w:contextualSpacing/>
        <w:outlineLvl w:val="9"/>
        <w:rPr>
          <w:rFonts w:hint="eastAsia" w:ascii="宋体" w:hAnsi="宋体" w:cs="宋体"/>
          <w:sz w:val="24"/>
          <w:highlight w:val="none"/>
        </w:rPr>
      </w:pPr>
    </w:p>
    <w:p>
      <w:pPr>
        <w:widowControl/>
        <w:spacing w:line="360" w:lineRule="auto"/>
        <w:contextualSpacing/>
        <w:outlineLvl w:val="9"/>
        <w:rPr>
          <w:rFonts w:hint="eastAsia" w:ascii="宋体" w:hAnsi="宋体" w:cs="宋体"/>
          <w:sz w:val="24"/>
          <w:highlight w:val="none"/>
        </w:rPr>
      </w:pPr>
    </w:p>
    <w:p>
      <w:pPr>
        <w:widowControl/>
        <w:spacing w:line="360" w:lineRule="auto"/>
        <w:contextualSpacing/>
        <w:outlineLvl w:val="9"/>
        <w:rPr>
          <w:rFonts w:hint="eastAsia" w:ascii="宋体" w:hAnsi="宋体" w:cs="宋体"/>
          <w:kern w:val="0"/>
          <w:sz w:val="24"/>
          <w:highlight w:val="none"/>
        </w:rPr>
      </w:pPr>
      <w:r>
        <w:rPr>
          <w:rFonts w:hint="eastAsia" w:ascii="宋体" w:hAnsi="宋体" w:cs="宋体"/>
          <w:kern w:val="0"/>
          <w:sz w:val="24"/>
          <w:highlight w:val="none"/>
        </w:rPr>
        <w:t>投资者（公章）                          法定代表人或授权代理人（签章）</w:t>
      </w:r>
    </w:p>
    <w:p>
      <w:pPr>
        <w:widowControl/>
        <w:spacing w:line="360" w:lineRule="auto"/>
        <w:contextualSpacing/>
        <w:outlineLvl w:val="9"/>
        <w:rPr>
          <w:rFonts w:hint="eastAsia" w:ascii="宋体" w:hAnsi="宋体" w:cs="宋体"/>
          <w:kern w:val="0"/>
          <w:sz w:val="24"/>
          <w:highlight w:val="none"/>
        </w:rPr>
      </w:pPr>
    </w:p>
    <w:p>
      <w:pPr>
        <w:widowControl/>
        <w:spacing w:line="360" w:lineRule="auto"/>
        <w:contextualSpacing/>
        <w:outlineLvl w:val="9"/>
        <w:rPr>
          <w:rFonts w:hint="eastAsia" w:ascii="宋体" w:hAnsi="宋体" w:cs="宋体"/>
          <w:kern w:val="0"/>
          <w:sz w:val="24"/>
          <w:highlight w:val="none"/>
        </w:rPr>
      </w:pPr>
    </w:p>
    <w:p>
      <w:pPr>
        <w:widowControl/>
        <w:spacing w:line="360" w:lineRule="auto"/>
        <w:contextualSpacing/>
        <w:outlineLvl w:val="9"/>
        <w:rPr>
          <w:rFonts w:hint="eastAsia" w:ascii="宋体" w:hAnsi="宋体" w:cs="宋体"/>
          <w:kern w:val="0"/>
          <w:sz w:val="24"/>
          <w:highlight w:val="none"/>
        </w:rPr>
      </w:pPr>
    </w:p>
    <w:p>
      <w:pPr>
        <w:widowControl/>
        <w:spacing w:line="360" w:lineRule="auto"/>
        <w:contextualSpacing/>
        <w:outlineLvl w:val="9"/>
        <w:rPr>
          <w:rFonts w:hint="eastAsia" w:ascii="宋体" w:hAnsi="宋体" w:cs="宋体"/>
          <w:kern w:val="0"/>
          <w:sz w:val="24"/>
          <w:highlight w:val="none"/>
        </w:rPr>
      </w:pP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right"/>
        <w:rPr>
          <w:rFonts w:ascii="宋体" w:hAnsi="宋体" w:cs="宋体"/>
          <w:bCs/>
          <w:sz w:val="24"/>
          <w:highlight w:val="none"/>
        </w:rPr>
      </w:pPr>
    </w:p>
    <w:p>
      <w:pPr>
        <w:spacing w:line="360" w:lineRule="auto"/>
        <w:ind w:firstLine="480" w:firstLineChars="200"/>
        <w:jc w:val="right"/>
        <w:rPr>
          <w:rFonts w:ascii="宋体" w:hAnsi="宋体" w:cs="宋体"/>
          <w:bCs/>
          <w:sz w:val="24"/>
          <w:highlight w:val="none"/>
        </w:rPr>
      </w:pPr>
    </w:p>
    <w:p>
      <w:pPr>
        <w:spacing w:line="360" w:lineRule="auto"/>
        <w:ind w:firstLine="480" w:firstLineChars="200"/>
        <w:jc w:val="right"/>
        <w:rPr>
          <w:rFonts w:ascii="宋体" w:hAnsi="宋体" w:cs="宋体"/>
          <w:bCs/>
          <w:sz w:val="24"/>
          <w:highlight w:val="none"/>
        </w:rPr>
      </w:pPr>
    </w:p>
    <w:p>
      <w:pPr>
        <w:spacing w:line="360" w:lineRule="auto"/>
        <w:ind w:firstLine="480" w:firstLineChars="200"/>
        <w:jc w:val="right"/>
        <w:rPr>
          <w:rFonts w:ascii="宋体" w:hAnsi="宋体" w:cs="宋体"/>
          <w:bCs/>
          <w:sz w:val="24"/>
          <w:highlight w:val="none"/>
        </w:rPr>
      </w:pPr>
    </w:p>
    <w:p>
      <w:pPr>
        <w:spacing w:line="360" w:lineRule="auto"/>
        <w:ind w:firstLine="480" w:firstLineChars="200"/>
        <w:jc w:val="right"/>
        <w:rPr>
          <w:rFonts w:ascii="宋体" w:hAnsi="宋体" w:cs="宋体"/>
          <w:bCs/>
          <w:sz w:val="24"/>
          <w:highlight w:val="none"/>
        </w:rPr>
      </w:pPr>
    </w:p>
    <w:p>
      <w:pPr>
        <w:spacing w:line="360" w:lineRule="auto"/>
        <w:ind w:firstLine="480" w:firstLineChars="200"/>
        <w:jc w:val="right"/>
        <w:rPr>
          <w:rFonts w:ascii="宋体" w:hAnsi="宋体" w:cs="宋体"/>
          <w:bCs/>
          <w:sz w:val="24"/>
          <w:highlight w:val="none"/>
        </w:rPr>
      </w:pPr>
    </w:p>
    <w:p>
      <w:pPr>
        <w:spacing w:line="360" w:lineRule="auto"/>
        <w:ind w:firstLine="480" w:firstLineChars="200"/>
        <w:jc w:val="right"/>
        <w:rPr>
          <w:rFonts w:ascii="宋体" w:hAnsi="宋体" w:cs="宋体"/>
          <w:bCs/>
          <w:sz w:val="24"/>
          <w:highlight w:val="none"/>
        </w:rPr>
      </w:pPr>
    </w:p>
    <w:p>
      <w:pPr>
        <w:rPr>
          <w:rFonts w:ascii="宋体" w:hAnsi="宋体" w:cs="宋体"/>
          <w:b/>
          <w:bCs/>
          <w:sz w:val="44"/>
          <w:szCs w:val="44"/>
          <w:highlight w:val="none"/>
        </w:rPr>
      </w:pPr>
    </w:p>
    <w:p>
      <w:pPr>
        <w:jc w:val="center"/>
        <w:outlineLvl w:val="0"/>
        <w:rPr>
          <w:rFonts w:ascii="宋体" w:hAnsi="宋体" w:cs="宋体"/>
          <w:b/>
          <w:bCs/>
          <w:sz w:val="44"/>
          <w:szCs w:val="44"/>
          <w:highlight w:val="none"/>
        </w:rPr>
      </w:pPr>
      <w:r>
        <w:rPr>
          <w:rFonts w:hint="eastAsia" w:ascii="宋体" w:hAnsi="宋体" w:cs="宋体"/>
          <w:b/>
          <w:bCs/>
          <w:sz w:val="44"/>
          <w:szCs w:val="44"/>
          <w:highlight w:val="none"/>
        </w:rPr>
        <w:t>杭银理财幸福99</w:t>
      </w:r>
      <w:r>
        <w:rPr>
          <w:rFonts w:hint="eastAsia" w:ascii="宋体" w:hAnsi="宋体" w:cs="宋体"/>
          <w:b/>
          <w:bCs/>
          <w:sz w:val="44"/>
          <w:szCs w:val="44"/>
          <w:highlight w:val="none"/>
          <w:lang w:eastAsia="zh-CN"/>
        </w:rPr>
        <w:t>天添益（安享优选）6期</w:t>
      </w:r>
      <w:r>
        <w:rPr>
          <w:rFonts w:hint="eastAsia" w:ascii="宋体" w:hAnsi="宋体" w:cs="宋体"/>
          <w:b/>
          <w:bCs/>
          <w:sz w:val="44"/>
          <w:szCs w:val="44"/>
          <w:highlight w:val="none"/>
        </w:rPr>
        <w:t>理财产品说明书</w:t>
      </w:r>
    </w:p>
    <w:p>
      <w:pPr>
        <w:jc w:val="center"/>
        <w:outlineLvl w:val="1"/>
        <w:rPr>
          <w:rFonts w:ascii="宋体" w:hAnsi="宋体" w:cs="宋体"/>
          <w:b/>
          <w:bCs/>
          <w:sz w:val="44"/>
          <w:szCs w:val="44"/>
          <w:highlight w:val="none"/>
        </w:rPr>
      </w:pPr>
      <w:r>
        <w:rPr>
          <w:rFonts w:hint="eastAsia" w:ascii="宋体" w:hAnsi="宋体" w:cs="宋体"/>
          <w:sz w:val="28"/>
          <w:szCs w:val="28"/>
          <w:highlight w:val="none"/>
        </w:rPr>
        <w:t>（</w:t>
      </w:r>
      <w:r>
        <w:rPr>
          <w:rFonts w:hint="eastAsia" w:ascii="宋体" w:hAnsi="宋体" w:cs="宋体"/>
          <w:sz w:val="28"/>
          <w:szCs w:val="28"/>
          <w:highlight w:val="none"/>
          <w:lang w:eastAsia="zh-CN"/>
        </w:rPr>
        <w:t>202201</w:t>
      </w:r>
      <w:r>
        <w:rPr>
          <w:rFonts w:hint="eastAsia" w:ascii="宋体" w:hAnsi="宋体" w:cs="宋体"/>
          <w:sz w:val="28"/>
          <w:szCs w:val="28"/>
          <w:highlight w:val="none"/>
        </w:rPr>
        <w:t>版）</w:t>
      </w:r>
    </w:p>
    <w:p>
      <w:pPr>
        <w:spacing w:line="360" w:lineRule="auto"/>
        <w:jc w:val="right"/>
        <w:rPr>
          <w:rFonts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〖Z7002223000297〗</w:t>
      </w:r>
    </w:p>
    <w:p>
      <w:pPr>
        <w:spacing w:line="360" w:lineRule="auto"/>
        <w:jc w:val="center"/>
        <w:rPr>
          <w:rFonts w:ascii="宋体" w:hAnsi="宋体" w:cs="宋体"/>
          <w:bCs/>
          <w:sz w:val="24"/>
          <w:highlight w:val="none"/>
        </w:rPr>
      </w:pPr>
    </w:p>
    <w:p>
      <w:pPr>
        <w:numPr>
          <w:ilvl w:val="0"/>
          <w:numId w:val="9"/>
        </w:numPr>
        <w:spacing w:line="360" w:lineRule="auto"/>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jc w:val="left"/>
        <w:rPr>
          <w:rFonts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jc w:val="left"/>
        <w:rPr>
          <w:rFonts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jc w:val="left"/>
        <w:rPr>
          <w:rFonts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jc w:val="left"/>
        <w:rPr>
          <w:rFonts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jc w:val="left"/>
        <w:rPr>
          <w:rFonts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lang w:val="en-US" w:eastAsia="zh-CN"/>
        </w:rPr>
        <w:t>理财计划</w:t>
      </w:r>
      <w:r>
        <w:rPr>
          <w:rFonts w:hint="eastAsia" w:ascii="宋体" w:hAnsi="宋体" w:cs="宋体"/>
          <w:bCs/>
          <w:sz w:val="24"/>
          <w:highlight w:val="none"/>
        </w:rPr>
        <w:t>风险揭示书》《投资者权益须知》《理财计划投资协议书》《理财计划销售协议书》，将共同构成投资者与管理人之间的理财计划交易合同。</w:t>
      </w:r>
    </w:p>
    <w:p>
      <w:pPr>
        <w:numPr>
          <w:ilvl w:val="0"/>
          <w:numId w:val="10"/>
        </w:numPr>
        <w:spacing w:line="360" w:lineRule="auto"/>
        <w:jc w:val="left"/>
        <w:rPr>
          <w:rFonts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jc w:val="left"/>
        <w:rPr>
          <w:rFonts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jc w:val="left"/>
        <w:rPr>
          <w:rFonts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jc w:val="left"/>
        <w:rPr>
          <w:rFonts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jc w:val="left"/>
        <w:rPr>
          <w:rFonts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jc w:val="left"/>
        <w:rPr>
          <w:rFonts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10"/>
        </w:numPr>
        <w:spacing w:line="360" w:lineRule="auto"/>
        <w:jc w:val="left"/>
        <w:rPr>
          <w:rFonts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jc w:val="left"/>
        <w:rPr>
          <w:rFonts w:ascii="宋体" w:hAnsi="宋体" w:cs="宋体"/>
          <w:bCs/>
          <w:sz w:val="24"/>
          <w:highlight w:val="none"/>
        </w:rPr>
      </w:pPr>
      <w:r>
        <w:rPr>
          <w:rFonts w:hint="eastAsia" w:ascii="宋体" w:hAnsi="宋体" w:cs="宋体"/>
          <w:bCs/>
          <w:sz w:val="24"/>
          <w:highlight w:val="none"/>
        </w:rPr>
        <w:t>管理人有权依法对本理财计划产品说明书进行解释。</w:t>
      </w:r>
    </w:p>
    <w:p>
      <w:pPr>
        <w:spacing w:line="360" w:lineRule="auto"/>
        <w:jc w:val="left"/>
        <w:rPr>
          <w:rFonts w:ascii="宋体" w:hAnsi="宋体" w:cs="宋体"/>
          <w:bCs/>
          <w:sz w:val="24"/>
          <w:highlight w:val="none"/>
        </w:rPr>
      </w:pPr>
    </w:p>
    <w:p>
      <w:pPr>
        <w:numPr>
          <w:ilvl w:val="0"/>
          <w:numId w:val="11"/>
        </w:numPr>
        <w:spacing w:line="360" w:lineRule="auto"/>
        <w:jc w:val="left"/>
        <w:outlineLvl w:val="1"/>
        <w:rPr>
          <w:rFonts w:ascii="宋体" w:hAnsi="宋体" w:cs="宋体"/>
          <w:b/>
          <w:sz w:val="24"/>
          <w:highlight w:val="none"/>
        </w:rPr>
      </w:pPr>
      <w:r>
        <w:rPr>
          <w:rFonts w:hint="eastAsia" w:ascii="宋体" w:hAnsi="宋体" w:cs="宋体"/>
          <w:b/>
          <w:sz w:val="24"/>
          <w:highlight w:val="none"/>
        </w:rPr>
        <w:t>释义</w:t>
      </w:r>
    </w:p>
    <w:p>
      <w:pPr>
        <w:pStyle w:val="18"/>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8"/>
        <w:numPr>
          <w:ilvl w:val="0"/>
          <w:numId w:val="12"/>
        </w:numPr>
        <w:adjustRightInd/>
        <w:spacing w:line="360" w:lineRule="auto"/>
        <w:outlineLvl w:val="2"/>
        <w:rPr>
          <w:rFonts w:ascii="宋体" w:hAnsi="宋体" w:cs="宋体"/>
          <w:b/>
          <w:color w:val="auto"/>
          <w:kern w:val="2"/>
          <w:highlight w:val="none"/>
        </w:rPr>
      </w:pPr>
      <w:r>
        <w:rPr>
          <w:rFonts w:hint="eastAsia" w:ascii="宋体" w:hAnsi="宋体" w:cs="宋体"/>
          <w:b/>
          <w:color w:val="auto"/>
          <w:kern w:val="2"/>
          <w:highlight w:val="none"/>
        </w:rPr>
        <w:t>参与主体用语</w:t>
      </w:r>
    </w:p>
    <w:p>
      <w:pPr>
        <w:pStyle w:val="18"/>
        <w:numPr>
          <w:ilvl w:val="0"/>
          <w:numId w:val="13"/>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指杭银理财有限责任公司，主要从事面向不特定社会公众公开发行理财产品、面向合格投资者非公开发行理财产品、理财顾问和咨询服务等相关业务。杭银理财有限责任公司简称杭银理财，官网网站为</w:t>
      </w:r>
      <w:r>
        <w:rPr>
          <w:rFonts w:hint="eastAsia" w:ascii="宋体" w:hAnsi="宋体" w:cs="宋体"/>
          <w:bCs/>
          <w:color w:val="auto"/>
          <w:kern w:val="2"/>
          <w:highlight w:val="none"/>
          <w:u w:val="single"/>
        </w:rPr>
        <w:t>www.hzbankwealth.com.cn</w:t>
      </w:r>
      <w:r>
        <w:rPr>
          <w:rFonts w:hint="eastAsia" w:ascii="宋体" w:hAnsi="宋体" w:cs="宋体"/>
          <w:bCs/>
          <w:color w:val="auto"/>
          <w:kern w:val="2"/>
          <w:highlight w:val="none"/>
          <w:u w:val="single"/>
          <w:lang w:eastAsia="zh-CN"/>
        </w:rPr>
        <w:t>，</w:t>
      </w:r>
      <w:r>
        <w:rPr>
          <w:rFonts w:hint="eastAsia" w:ascii="宋体" w:hAnsi="宋体" w:cs="宋体"/>
          <w:bCs/>
          <w:color w:val="auto"/>
          <w:kern w:val="2"/>
          <w:highlight w:val="none"/>
          <w:u w:val="single"/>
          <w:lang w:val="en-US" w:eastAsia="zh-CN"/>
        </w:rPr>
        <w:t>客服电话：400-8950-999</w:t>
      </w:r>
      <w:r>
        <w:rPr>
          <w:rFonts w:hint="eastAsia" w:ascii="宋体" w:hAnsi="宋体" w:cs="宋体"/>
          <w:bCs/>
          <w:color w:val="auto"/>
          <w:kern w:val="2"/>
          <w:highlight w:val="none"/>
        </w:rPr>
        <w:t>。</w:t>
      </w:r>
    </w:p>
    <w:p>
      <w:pPr>
        <w:pStyle w:val="18"/>
        <w:numPr>
          <w:ilvl w:val="0"/>
          <w:numId w:val="13"/>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fldChar w:fldCharType="begin"/>
      </w:r>
      <w:r>
        <w:instrText xml:space="preserve"> HYPERLINK "http://www.hzbank.com.cn" </w:instrText>
      </w:r>
      <w:r>
        <w:fldChar w:fldCharType="separate"/>
      </w:r>
      <w:r>
        <w:rPr>
          <w:rFonts w:hint="eastAsia" w:ascii="宋体" w:hAnsi="宋体" w:cs="宋体"/>
          <w:bCs/>
          <w:color w:val="auto"/>
          <w:kern w:val="2"/>
          <w:highlight w:val="none"/>
          <w:u w:val="single"/>
        </w:rPr>
        <w:t>www.hzbank.com.cn</w:t>
      </w:r>
      <w:r>
        <w:rPr>
          <w:rFonts w:hint="eastAsia" w:ascii="宋体" w:hAnsi="宋体" w:cs="宋体"/>
          <w:bCs/>
          <w:color w:val="auto"/>
          <w:kern w:val="2"/>
          <w:highlight w:val="none"/>
          <w:u w:val="single"/>
        </w:rPr>
        <w:fldChar w:fldCharType="end"/>
      </w:r>
      <w:r>
        <w:rPr>
          <w:rFonts w:hint="eastAsia" w:ascii="宋体" w:hAnsi="宋体" w:cs="宋体"/>
          <w:bCs/>
          <w:color w:val="auto"/>
          <w:kern w:val="2"/>
          <w:highlight w:val="none"/>
        </w:rPr>
        <w:t>，客服热线为95398。</w:t>
      </w:r>
    </w:p>
    <w:p>
      <w:pPr>
        <w:pStyle w:val="18"/>
        <w:numPr>
          <w:ilvl w:val="0"/>
          <w:numId w:val="13"/>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highlight w:val="none"/>
        </w:rPr>
        <w:t>〖</w:t>
      </w:r>
      <w:r>
        <w:rPr>
          <w:rFonts w:hint="eastAsia" w:ascii="宋体" w:hAnsi="宋体" w:cs="宋体"/>
          <w:bCs/>
          <w:color w:val="auto"/>
          <w:kern w:val="2"/>
          <w:highlight w:val="none"/>
        </w:rPr>
        <w:t>杭州银行股份有限公司</w:t>
      </w:r>
      <w:r>
        <w:rPr>
          <w:rFonts w:hint="eastAsia" w:ascii="宋体" w:hAnsi="宋体" w:cs="宋体"/>
          <w:highlight w:val="none"/>
        </w:rPr>
        <w:t>〗</w:t>
      </w:r>
      <w:r>
        <w:rPr>
          <w:rFonts w:hint="eastAsia" w:ascii="宋体" w:hAnsi="宋体" w:cs="宋体"/>
          <w:bCs/>
          <w:color w:val="auto"/>
          <w:kern w:val="2"/>
          <w:highlight w:val="none"/>
        </w:rPr>
        <w:t>。</w:t>
      </w:r>
    </w:p>
    <w:p>
      <w:pPr>
        <w:pStyle w:val="18"/>
        <w:numPr>
          <w:ilvl w:val="0"/>
          <w:numId w:val="13"/>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8"/>
        <w:numPr>
          <w:ilvl w:val="0"/>
          <w:numId w:val="13"/>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8"/>
        <w:numPr>
          <w:ilvl w:val="0"/>
          <w:numId w:val="13"/>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指对管理人（包括本理财计划管理人、所投资的信托计划/资管计划的管理人/受托人、相关投资顾问等）实施监督管理的机构，包括但不限于中国人民银行、</w:t>
      </w:r>
      <w:r>
        <w:rPr>
          <w:rFonts w:hint="eastAsia" w:ascii="宋体" w:hAnsi="宋体" w:cs="宋体"/>
          <w:bCs/>
          <w:color w:val="auto"/>
          <w:kern w:val="2"/>
          <w:highlight w:val="none"/>
          <w:lang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8"/>
        <w:numPr>
          <w:ilvl w:val="0"/>
          <w:numId w:val="12"/>
        </w:numPr>
        <w:adjustRightInd/>
        <w:spacing w:line="360" w:lineRule="auto"/>
        <w:outlineLvl w:val="2"/>
        <w:rPr>
          <w:rFonts w:ascii="宋体" w:hAnsi="宋体" w:cs="宋体"/>
          <w:b/>
          <w:color w:val="auto"/>
          <w:kern w:val="2"/>
          <w:highlight w:val="none"/>
        </w:rPr>
      </w:pPr>
      <w:r>
        <w:rPr>
          <w:rFonts w:hint="eastAsia" w:ascii="宋体" w:hAnsi="宋体" w:cs="宋体"/>
          <w:b/>
          <w:color w:val="auto"/>
          <w:kern w:val="2"/>
          <w:highlight w:val="none"/>
        </w:rPr>
        <w:t>法律文件用语</w:t>
      </w:r>
    </w:p>
    <w:p>
      <w:pPr>
        <w:pStyle w:val="18"/>
        <w:numPr>
          <w:ilvl w:val="0"/>
          <w:numId w:val="14"/>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color w:val="auto"/>
          <w:kern w:val="2"/>
          <w:highlight w:val="none"/>
          <w:lang w:eastAsia="zh-CN"/>
        </w:rPr>
        <w:t>天添益（安享优选）6期</w:t>
      </w:r>
      <w:r>
        <w:rPr>
          <w:rFonts w:hint="eastAsia" w:ascii="宋体" w:hAnsi="宋体" w:cs="宋体"/>
          <w:bCs/>
          <w:color w:val="auto"/>
          <w:kern w:val="2"/>
          <w:highlight w:val="none"/>
        </w:rPr>
        <w:t>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8"/>
        <w:numPr>
          <w:ilvl w:val="0"/>
          <w:numId w:val="14"/>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color w:val="auto"/>
          <w:kern w:val="2"/>
          <w:highlight w:val="none"/>
          <w:lang w:eastAsia="zh-CN"/>
        </w:rPr>
        <w:t>天添益（安享优选）6期理财合同</w:t>
      </w:r>
      <w:r>
        <w:rPr>
          <w:rFonts w:hint="eastAsia" w:ascii="宋体" w:hAnsi="宋体" w:cs="宋体"/>
          <w:bCs/>
          <w:highlight w:val="none"/>
        </w:rPr>
        <w:t>不可分割组成部分的风险揭示书，</w:t>
      </w:r>
      <w:r>
        <w:rPr>
          <w:rFonts w:hint="eastAsia" w:ascii="宋体" w:hAnsi="宋体" w:cs="宋体"/>
          <w:bCs/>
          <w:color w:val="auto"/>
          <w:kern w:val="2"/>
          <w:highlight w:val="none"/>
        </w:rPr>
        <w:t>以及对该文件的有效修改与补充。</w:t>
      </w:r>
    </w:p>
    <w:p>
      <w:pPr>
        <w:pStyle w:val="18"/>
        <w:numPr>
          <w:ilvl w:val="0"/>
          <w:numId w:val="14"/>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指作为杭银理财99</w:t>
      </w:r>
      <w:r>
        <w:rPr>
          <w:rFonts w:hint="eastAsia" w:ascii="宋体" w:hAnsi="宋体" w:cs="宋体"/>
          <w:bCs/>
          <w:color w:val="auto"/>
          <w:kern w:val="2"/>
          <w:highlight w:val="none"/>
          <w:lang w:eastAsia="zh-CN"/>
        </w:rPr>
        <w:t>天添益（安享优选）6期</w:t>
      </w:r>
      <w:r>
        <w:rPr>
          <w:rFonts w:hint="eastAsia" w:ascii="宋体" w:hAnsi="宋体" w:cs="宋体"/>
          <w:bCs/>
          <w:highlight w:val="none"/>
          <w:lang w:eastAsia="zh-CN"/>
        </w:rPr>
        <w:t>理财合同</w:t>
      </w:r>
      <w:r>
        <w:rPr>
          <w:rFonts w:hint="eastAsia" w:ascii="宋体" w:hAnsi="宋体" w:cs="宋体"/>
          <w:bCs/>
          <w:highlight w:val="none"/>
        </w:rPr>
        <w:t>不可分割组成部分的投资者权益须知，</w:t>
      </w:r>
      <w:r>
        <w:rPr>
          <w:rFonts w:hint="eastAsia" w:ascii="宋体" w:hAnsi="宋体" w:cs="宋体"/>
          <w:bCs/>
          <w:color w:val="auto"/>
          <w:kern w:val="2"/>
          <w:highlight w:val="none"/>
        </w:rPr>
        <w:t>以及对该文件的有效修改与补充。</w:t>
      </w:r>
    </w:p>
    <w:p>
      <w:pPr>
        <w:pStyle w:val="18"/>
        <w:numPr>
          <w:ilvl w:val="0"/>
          <w:numId w:val="14"/>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color w:val="auto"/>
          <w:kern w:val="2"/>
          <w:highlight w:val="none"/>
          <w:lang w:eastAsia="zh-CN"/>
        </w:rPr>
        <w:t>天添益（安享优选）6期理财合同</w:t>
      </w:r>
      <w:r>
        <w:rPr>
          <w:rFonts w:hint="eastAsia" w:ascii="宋体" w:hAnsi="宋体" w:cs="宋体"/>
          <w:bCs/>
          <w:highlight w:val="none"/>
        </w:rPr>
        <w:t>不可分割组成部分的理财计划投资协议书，</w:t>
      </w:r>
      <w:r>
        <w:rPr>
          <w:rFonts w:hint="eastAsia" w:ascii="宋体" w:hAnsi="宋体" w:cs="宋体"/>
          <w:bCs/>
          <w:color w:val="auto"/>
          <w:kern w:val="2"/>
          <w:highlight w:val="none"/>
        </w:rPr>
        <w:t>以及对该文件的有效修改与补充。</w:t>
      </w:r>
    </w:p>
    <w:p>
      <w:pPr>
        <w:pStyle w:val="18"/>
        <w:numPr>
          <w:ilvl w:val="0"/>
          <w:numId w:val="14"/>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理财计划销售协议书：</w:t>
      </w:r>
      <w:r>
        <w:rPr>
          <w:rFonts w:hint="eastAsia" w:ascii="宋体" w:hAnsi="宋体" w:cs="宋体"/>
          <w:bCs/>
          <w:color w:val="auto"/>
          <w:kern w:val="2"/>
          <w:highlight w:val="none"/>
        </w:rPr>
        <w:t>指作为杭银理财99</w:t>
      </w:r>
      <w:r>
        <w:rPr>
          <w:rFonts w:hint="eastAsia" w:ascii="宋体" w:hAnsi="宋体" w:cs="宋体"/>
          <w:bCs/>
          <w:color w:val="auto"/>
          <w:kern w:val="2"/>
          <w:highlight w:val="none"/>
          <w:lang w:eastAsia="zh-CN"/>
        </w:rPr>
        <w:t>天添益（安享优选）6期理财合同</w:t>
      </w:r>
      <w:r>
        <w:rPr>
          <w:rFonts w:hint="eastAsia" w:ascii="宋体" w:hAnsi="宋体" w:cs="宋体"/>
          <w:bCs/>
          <w:color w:val="auto"/>
          <w:kern w:val="2"/>
          <w:highlight w:val="none"/>
        </w:rPr>
        <w:t>不可分割组成部分的理财计划销售协议书，以及对该文件的有效修改与补充。</w:t>
      </w:r>
    </w:p>
    <w:p>
      <w:pPr>
        <w:pStyle w:val="18"/>
        <w:numPr>
          <w:ilvl w:val="0"/>
          <w:numId w:val="14"/>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指《理财计划产品说明书》《风险揭示书》《投资者权益须知》《理财计划投资协议书》《理财计划销售协议书》五个部分。</w:t>
      </w:r>
    </w:p>
    <w:p>
      <w:pPr>
        <w:pStyle w:val="18"/>
        <w:numPr>
          <w:ilvl w:val="0"/>
          <w:numId w:val="12"/>
        </w:numPr>
        <w:adjustRightInd/>
        <w:spacing w:line="360" w:lineRule="auto"/>
        <w:outlineLvl w:val="2"/>
        <w:rPr>
          <w:rFonts w:ascii="宋体" w:hAnsi="宋体" w:cs="宋体"/>
          <w:b/>
          <w:color w:val="auto"/>
          <w:kern w:val="2"/>
          <w:highlight w:val="none"/>
        </w:rPr>
      </w:pPr>
      <w:r>
        <w:rPr>
          <w:rFonts w:hint="eastAsia" w:ascii="宋体" w:hAnsi="宋体" w:cs="宋体"/>
          <w:b/>
          <w:color w:val="auto"/>
          <w:kern w:val="2"/>
          <w:highlight w:val="none"/>
        </w:rPr>
        <w:t>理财产品用语</w:t>
      </w:r>
    </w:p>
    <w:p>
      <w:pPr>
        <w:pStyle w:val="18"/>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color w:val="auto"/>
          <w:kern w:val="2"/>
          <w:highlight w:val="none"/>
          <w:lang w:eastAsia="zh-CN"/>
        </w:rPr>
        <w:t>天添益（安享优选）6期</w:t>
      </w:r>
      <w:r>
        <w:rPr>
          <w:rFonts w:hint="eastAsia" w:ascii="宋体" w:hAnsi="宋体" w:cs="宋体"/>
          <w:bCs/>
          <w:color w:val="auto"/>
          <w:kern w:val="2"/>
          <w:highlight w:val="none"/>
        </w:rPr>
        <w:t>理财</w:t>
      </w:r>
      <w:r>
        <w:rPr>
          <w:rFonts w:hint="eastAsia" w:ascii="宋体" w:hAnsi="宋体" w:cs="宋体"/>
          <w:bCs/>
          <w:highlight w:val="none"/>
        </w:rPr>
        <w:t>。</w:t>
      </w:r>
    </w:p>
    <w:p>
      <w:pPr>
        <w:pStyle w:val="18"/>
        <w:numPr>
          <w:ilvl w:val="0"/>
          <w:numId w:val="15"/>
        </w:numPr>
        <w:adjustRightInd/>
        <w:spacing w:line="360" w:lineRule="auto"/>
        <w:rPr>
          <w:rFonts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8"/>
        <w:numPr>
          <w:ilvl w:val="0"/>
          <w:numId w:val="15"/>
        </w:numPr>
        <w:adjustRightInd/>
        <w:spacing w:line="360" w:lineRule="auto"/>
        <w:rPr>
          <w:rFonts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18"/>
        <w:numPr>
          <w:ilvl w:val="0"/>
          <w:numId w:val="15"/>
        </w:numPr>
        <w:adjustRightInd/>
        <w:spacing w:line="360" w:lineRule="auto"/>
        <w:rPr>
          <w:rFonts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8"/>
        <w:numPr>
          <w:ilvl w:val="0"/>
          <w:numId w:val="15"/>
        </w:numPr>
        <w:adjustRightInd/>
        <w:spacing w:line="360" w:lineRule="auto"/>
        <w:rPr>
          <w:rFonts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8"/>
        <w:numPr>
          <w:ilvl w:val="0"/>
          <w:numId w:val="15"/>
        </w:numPr>
        <w:adjustRightInd/>
        <w:spacing w:line="360" w:lineRule="auto"/>
        <w:rPr>
          <w:rFonts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8"/>
        <w:numPr>
          <w:ilvl w:val="0"/>
          <w:numId w:val="15"/>
        </w:numPr>
        <w:adjustRightInd/>
        <w:spacing w:line="360" w:lineRule="auto"/>
        <w:rPr>
          <w:rFonts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8"/>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8"/>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指理财计划成立后，理财计划不接受投资者申购赎回的时间。</w:t>
      </w:r>
    </w:p>
    <w:p>
      <w:pPr>
        <w:pStyle w:val="18"/>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8"/>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8"/>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8"/>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8"/>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8"/>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8"/>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8"/>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8"/>
        <w:numPr>
          <w:ilvl w:val="0"/>
          <w:numId w:val="15"/>
        </w:numPr>
        <w:adjustRightInd/>
        <w:spacing w:line="360" w:lineRule="auto"/>
        <w:rPr>
          <w:rFonts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w:t>
      </w:r>
      <w:r>
        <w:rPr>
          <w:rFonts w:hint="eastAsia" w:ascii="宋体" w:hAnsi="宋体" w:cs="宋体"/>
          <w:bCs/>
          <w:highlight w:val="none"/>
          <w:lang w:eastAsia="zh-CN"/>
        </w:rPr>
        <w:t>、</w:t>
      </w:r>
      <w:r>
        <w:rPr>
          <w:rFonts w:hint="eastAsia" w:ascii="宋体" w:hAnsi="宋体" w:cs="宋体"/>
          <w:bCs/>
          <w:highlight w:val="none"/>
          <w:lang w:val="en-US" w:eastAsia="zh-CN"/>
        </w:rPr>
        <w:t>赎回</w:t>
      </w:r>
      <w:r>
        <w:rPr>
          <w:rFonts w:hint="eastAsia" w:ascii="宋体" w:hAnsi="宋体" w:cs="宋体"/>
          <w:bCs/>
          <w:highlight w:val="none"/>
        </w:rPr>
        <w:t>交易的时间。</w:t>
      </w:r>
    </w:p>
    <w:p>
      <w:pPr>
        <w:pStyle w:val="18"/>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赎回</w:t>
      </w:r>
      <w:r>
        <w:rPr>
          <w:rFonts w:hint="eastAsia" w:ascii="宋体" w:hAnsi="宋体" w:cs="宋体"/>
          <w:bCs/>
          <w:color w:val="auto"/>
          <w:kern w:val="2"/>
          <w:highlight w:val="none"/>
        </w:rPr>
        <w:t>交易是否有效的日期。</w:t>
      </w:r>
    </w:p>
    <w:p>
      <w:pPr>
        <w:pStyle w:val="18"/>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8"/>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8"/>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指理财计划赎回开放期内，投资者向管理人进行理财计划份额卖出的行为。</w:t>
      </w:r>
    </w:p>
    <w:p>
      <w:pPr>
        <w:pStyle w:val="18"/>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8"/>
        <w:numPr>
          <w:ilvl w:val="0"/>
          <w:numId w:val="15"/>
        </w:numPr>
        <w:adjustRightInd/>
        <w:spacing w:line="360" w:lineRule="auto"/>
        <w:rPr>
          <w:rFonts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销售服务费、托管人收取的托管费、交易费用、执行费用等相关费用，具体以实际发生为准。</w:t>
      </w:r>
    </w:p>
    <w:p>
      <w:pPr>
        <w:pStyle w:val="18"/>
        <w:numPr>
          <w:ilvl w:val="0"/>
          <w:numId w:val="15"/>
        </w:numPr>
        <w:adjustRightInd/>
        <w:spacing w:line="360" w:lineRule="auto"/>
        <w:rPr>
          <w:rFonts w:ascii="宋体" w:hAnsi="宋体" w:cs="宋体"/>
          <w:b/>
          <w:color w:val="auto"/>
          <w:kern w:val="2"/>
          <w:highlight w:val="none"/>
        </w:rPr>
      </w:pPr>
      <w:r>
        <w:rPr>
          <w:rFonts w:hint="eastAsia" w:ascii="宋体" w:hAnsi="宋体" w:cs="宋体"/>
          <w:b/>
          <w:highlight w:val="none"/>
        </w:rPr>
        <w:t>其他费用：</w:t>
      </w:r>
      <w:r>
        <w:rPr>
          <w:rFonts w:hint="eastAsia" w:ascii="宋体" w:hAnsi="宋体" w:cs="宋体"/>
          <w:bCs/>
          <w:highlight w:val="none"/>
        </w:rPr>
        <w:t>指除理财计划费用以外，理财计划涉及的其他相关费用，包括但不限于认购费、申购费、赎回费、投顾费等，具体以本说明书第八条约定为准。</w:t>
      </w:r>
    </w:p>
    <w:p>
      <w:pPr>
        <w:pStyle w:val="18"/>
        <w:numPr>
          <w:ilvl w:val="0"/>
          <w:numId w:val="15"/>
        </w:numPr>
        <w:adjustRightInd/>
        <w:spacing w:line="360" w:lineRule="auto"/>
        <w:rPr>
          <w:rFonts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8"/>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8"/>
        <w:numPr>
          <w:ilvl w:val="0"/>
          <w:numId w:val="1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8"/>
        <w:adjustRightInd/>
        <w:spacing w:line="360" w:lineRule="auto"/>
        <w:ind w:firstLine="482" w:firstLineChars="200"/>
        <w:rPr>
          <w:rFonts w:hint="eastAsia"/>
          <w:highlight w:val="none"/>
        </w:rPr>
      </w:pPr>
      <w:r>
        <w:rPr>
          <w:rFonts w:hint="eastAsia" w:ascii="宋体" w:hAnsi="宋体" w:cs="宋体"/>
          <w:b/>
          <w:color w:val="auto"/>
          <w:kern w:val="2"/>
          <w:highlight w:val="none"/>
        </w:rPr>
        <w:t>31. 流</w:t>
      </w:r>
      <w:r>
        <w:rPr>
          <w:rFonts w:hint="eastAsia"/>
          <w:b/>
          <w:highlight w:val="none"/>
        </w:rPr>
        <w:t>动性受限资产：</w:t>
      </w:r>
      <w:r>
        <w:rPr>
          <w:rFonts w:hint="eastAsia"/>
          <w:highlight w:val="none"/>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8"/>
        <w:adjustRightInd/>
        <w:spacing w:line="360" w:lineRule="auto"/>
        <w:ind w:firstLine="482" w:firstLineChars="200"/>
        <w:rPr>
          <w:rFonts w:ascii="宋体" w:hAnsi="宋体" w:cs="宋体"/>
          <w:b/>
          <w:color w:val="auto"/>
          <w:kern w:val="2"/>
          <w:highlight w:val="none"/>
        </w:rPr>
      </w:pPr>
      <w:r>
        <w:rPr>
          <w:rFonts w:hint="eastAsia" w:ascii="宋体" w:hAnsi="宋体" w:cs="宋体"/>
          <w:b/>
          <w:color w:val="auto"/>
          <w:kern w:val="2"/>
          <w:highlight w:val="none"/>
        </w:rPr>
        <w:t>32. 7</w:t>
      </w:r>
      <w:r>
        <w:rPr>
          <w:rFonts w:hint="eastAsia" w:ascii="宋体" w:hAnsi="宋体" w:cs="宋体"/>
          <w:b/>
          <w:color w:val="auto"/>
          <w:kern w:val="2"/>
          <w:highlight w:val="none"/>
          <w:lang w:val="en-US" w:eastAsia="zh-CN"/>
        </w:rPr>
        <w:t>个</w:t>
      </w:r>
      <w:r>
        <w:rPr>
          <w:rFonts w:hint="eastAsia"/>
          <w:b/>
          <w:bCs/>
          <w:highlight w:val="none"/>
        </w:rPr>
        <w:t>工作日可变现资产：</w:t>
      </w:r>
      <w:r>
        <w:rPr>
          <w:rFonts w:hint="eastAsia"/>
          <w:highlight w:val="none"/>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8"/>
        <w:numPr>
          <w:ilvl w:val="0"/>
          <w:numId w:val="12"/>
        </w:numPr>
        <w:adjustRightInd/>
        <w:spacing w:line="360" w:lineRule="auto"/>
        <w:outlineLvl w:val="2"/>
        <w:rPr>
          <w:rFonts w:ascii="宋体" w:hAnsi="宋体" w:cs="宋体"/>
          <w:b/>
          <w:color w:val="auto"/>
          <w:kern w:val="2"/>
          <w:highlight w:val="none"/>
        </w:rPr>
      </w:pPr>
      <w:r>
        <w:rPr>
          <w:rFonts w:hint="eastAsia" w:ascii="宋体" w:hAnsi="宋体" w:cs="宋体"/>
          <w:b/>
          <w:color w:val="auto"/>
          <w:kern w:val="2"/>
          <w:highlight w:val="none"/>
        </w:rPr>
        <w:t>相关事件用语</w:t>
      </w:r>
    </w:p>
    <w:p>
      <w:pPr>
        <w:pStyle w:val="18"/>
        <w:numPr>
          <w:ilvl w:val="0"/>
          <w:numId w:val="16"/>
        </w:numPr>
        <w:adjustRightInd/>
        <w:spacing w:line="360" w:lineRule="auto"/>
        <w:rPr>
          <w:rFonts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8"/>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8"/>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8"/>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8"/>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8"/>
        <w:adjustRightInd/>
        <w:spacing w:line="360" w:lineRule="auto"/>
        <w:ind w:firstLine="241" w:firstLineChars="100"/>
        <w:rPr>
          <w:rFonts w:hint="eastAsia" w:ascii="宋体" w:hAnsi="宋体" w:cs="宋体"/>
          <w:b/>
          <w:color w:val="auto"/>
          <w:kern w:val="2"/>
          <w:highlight w:val="none"/>
        </w:rPr>
      </w:pPr>
      <w:r>
        <w:rPr>
          <w:rFonts w:hint="eastAsia" w:ascii="宋体" w:hAnsi="宋体" w:cs="宋体"/>
          <w:b/>
          <w:color w:val="auto"/>
          <w:kern w:val="2"/>
          <w:highlight w:val="none"/>
        </w:rPr>
        <w:t>2. 巨额赎回：指理财计划的申购和赎回开放期内，理财计划任一开放日净赎回申请份额超过上一工作日日终理财计划总份额的〖10%〗，即为发生巨额赎回行为。</w:t>
      </w:r>
    </w:p>
    <w:p>
      <w:pPr>
        <w:pStyle w:val="18"/>
        <w:adjustRightInd/>
        <w:spacing w:line="360" w:lineRule="auto"/>
        <w:rPr>
          <w:rFonts w:ascii="宋体" w:hAnsi="宋体" w:cs="宋体"/>
          <w:bCs/>
          <w:color w:val="auto"/>
          <w:kern w:val="2"/>
          <w:highlight w:val="none"/>
        </w:rPr>
      </w:pPr>
    </w:p>
    <w:p>
      <w:pPr>
        <w:pStyle w:val="18"/>
        <w:numPr>
          <w:ilvl w:val="0"/>
          <w:numId w:val="17"/>
        </w:numPr>
        <w:adjustRightInd/>
        <w:spacing w:line="360" w:lineRule="auto"/>
        <w:outlineLvl w:val="1"/>
        <w:rPr>
          <w:rFonts w:ascii="宋体" w:hAnsi="宋体" w:cs="宋体"/>
          <w:b/>
          <w:color w:val="auto"/>
          <w:kern w:val="2"/>
          <w:highlight w:val="none"/>
        </w:rPr>
      </w:pPr>
      <w:r>
        <w:rPr>
          <w:rFonts w:hint="eastAsia" w:ascii="宋体" w:hAnsi="宋体" w:cs="宋体"/>
          <w:b/>
          <w:color w:val="auto"/>
          <w:kern w:val="2"/>
          <w:highlight w:val="none"/>
        </w:rPr>
        <w:t>风险评级</w:t>
      </w:r>
    </w:p>
    <w:p>
      <w:pPr>
        <w:pStyle w:val="18"/>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本理财计划的风险等级为〖R2〗，〖中低〗风险。</w:t>
      </w:r>
      <w:r>
        <w:rPr>
          <w:rFonts w:hint="eastAsia" w:ascii="宋体" w:hAnsi="宋体" w:cs="宋体"/>
          <w:bCs/>
          <w:color w:val="auto"/>
          <w:kern w:val="2"/>
          <w:highlight w:val="none"/>
        </w:rPr>
        <w:t>该评级仅是管理人内部测评结果，仅供投资者参考，不具有任何法律约束力。</w:t>
      </w:r>
    </w:p>
    <w:tbl>
      <w:tblPr>
        <w:tblStyle w:val="9"/>
        <w:tblW w:w="86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1"/>
        <w:gridCol w:w="1746"/>
        <w:gridCol w:w="5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1" w:type="dxa"/>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746" w:type="dxa"/>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5064" w:type="dxa"/>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61" w:type="dxa"/>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746" w:type="dxa"/>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5064" w:type="dxa"/>
          </w:tcPr>
          <w:p>
            <w:pPr>
              <w:pStyle w:val="18"/>
              <w:adjustRightInd/>
              <w:spacing w:line="360" w:lineRule="auto"/>
              <w:jc w:val="center"/>
              <w:rPr>
                <w:rFonts w:ascii="宋体" w:hAnsi="宋体" w:cs="宋体"/>
                <w:bCs/>
                <w:color w:val="auto"/>
                <w:kern w:val="2"/>
                <w:highlight w:val="none"/>
              </w:rPr>
            </w:pPr>
            <w:r>
              <w:rPr>
                <w:rFonts w:hint="eastAsia" w:ascii="宋体" w:hAnsi="宋体" w:cs="宋体"/>
                <w:bCs/>
                <w:kern w:val="2"/>
                <w:highlight w:val="none"/>
              </w:rPr>
              <w:t>保守型、稳健型、平衡型、成长型、进取型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1" w:type="dxa"/>
          </w:tcPr>
          <w:p>
            <w:pPr>
              <w:pStyle w:val="18"/>
              <w:adjustRightInd/>
              <w:spacing w:line="360" w:lineRule="auto"/>
              <w:jc w:val="center"/>
              <w:rPr>
                <w:rFonts w:ascii="宋体" w:hAnsi="宋体" w:cs="宋体"/>
                <w:b/>
                <w:color w:val="auto"/>
                <w:kern w:val="2"/>
                <w:highlight w:val="none"/>
              </w:rPr>
            </w:pPr>
            <w:r>
              <w:rPr>
                <w:rFonts w:ascii="宋体" w:hAnsi="宋体" w:cs="宋体"/>
                <w:b/>
                <w:color w:val="auto"/>
                <w:kern w:val="2"/>
                <w:highlight w:val="none"/>
              </w:rPr>
              <w:t>R2</w:t>
            </w:r>
          </w:p>
        </w:tc>
        <w:tc>
          <w:tcPr>
            <w:tcW w:w="1746" w:type="dxa"/>
          </w:tcPr>
          <w:p>
            <w:pPr>
              <w:pStyle w:val="18"/>
              <w:adjustRightInd/>
              <w:spacing w:line="360" w:lineRule="auto"/>
              <w:jc w:val="center"/>
              <w:rPr>
                <w:rFonts w:ascii="宋体" w:hAnsi="宋体" w:cs="宋体"/>
                <w:b/>
                <w:color w:val="auto"/>
                <w:kern w:val="2"/>
                <w:highlight w:val="none"/>
              </w:rPr>
            </w:pPr>
            <w:r>
              <w:rPr>
                <w:rFonts w:hint="eastAsia" w:ascii="宋体" w:hAnsi="宋体" w:cs="宋体"/>
                <w:b/>
                <w:color w:val="auto"/>
                <w:kern w:val="2"/>
                <w:highlight w:val="none"/>
              </w:rPr>
              <w:t>中低</w:t>
            </w:r>
          </w:p>
        </w:tc>
        <w:tc>
          <w:tcPr>
            <w:tcW w:w="5064" w:type="dxa"/>
          </w:tcPr>
          <w:p>
            <w:pPr>
              <w:pStyle w:val="18"/>
              <w:adjustRightInd/>
              <w:spacing w:line="360" w:lineRule="auto"/>
              <w:jc w:val="center"/>
              <w:rPr>
                <w:rFonts w:ascii="宋体" w:hAnsi="宋体" w:cs="宋体"/>
                <w:b/>
                <w:color w:val="auto"/>
                <w:kern w:val="2"/>
                <w:highlight w:val="none"/>
              </w:rPr>
            </w:pPr>
            <w:r>
              <w:rPr>
                <w:rFonts w:hint="eastAsia" w:ascii="宋体" w:hAnsi="宋体" w:cs="宋体"/>
                <w:b/>
                <w:color w:val="auto"/>
                <w:kern w:val="2"/>
                <w:highlight w:val="none"/>
              </w:rPr>
              <w:t>稳健型</w:t>
            </w:r>
            <w:r>
              <w:rPr>
                <w:rFonts w:hint="eastAsia" w:ascii="宋体" w:hAnsi="宋体" w:cs="宋体"/>
                <w:b/>
                <w:kern w:val="2"/>
                <w:highlight w:val="none"/>
              </w:rPr>
              <w:t>、平衡型、成长型、进取型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1" w:type="dxa"/>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R3</w:t>
            </w:r>
          </w:p>
        </w:tc>
        <w:tc>
          <w:tcPr>
            <w:tcW w:w="1746" w:type="dxa"/>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w:t>
            </w:r>
          </w:p>
        </w:tc>
        <w:tc>
          <w:tcPr>
            <w:tcW w:w="5064" w:type="dxa"/>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平衡型</w:t>
            </w:r>
            <w:r>
              <w:rPr>
                <w:rFonts w:hint="eastAsia" w:ascii="宋体" w:hAnsi="宋体" w:cs="宋体"/>
                <w:bCs/>
                <w:kern w:val="2"/>
                <w:highlight w:val="none"/>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1" w:type="dxa"/>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746" w:type="dxa"/>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5064" w:type="dxa"/>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成长型</w:t>
            </w:r>
            <w:r>
              <w:rPr>
                <w:rFonts w:hint="eastAsia" w:ascii="宋体" w:hAnsi="宋体" w:cs="宋体"/>
                <w:bCs/>
                <w:kern w:val="2"/>
                <w:highlight w:val="none"/>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1" w:type="dxa"/>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746" w:type="dxa"/>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5064" w:type="dxa"/>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进取型</w:t>
            </w:r>
          </w:p>
        </w:tc>
      </w:tr>
    </w:tbl>
    <w:p>
      <w:pPr>
        <w:pStyle w:val="18"/>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投资者风险承受能力评级水平以销售机构评估为准。</w:t>
      </w:r>
    </w:p>
    <w:p>
      <w:pPr>
        <w:pStyle w:val="18"/>
        <w:adjustRightInd/>
        <w:spacing w:line="360" w:lineRule="auto"/>
        <w:rPr>
          <w:rFonts w:ascii="宋体" w:hAnsi="宋体" w:cs="宋体"/>
          <w:b/>
          <w:color w:val="auto"/>
          <w:kern w:val="2"/>
          <w:highlight w:val="none"/>
        </w:rPr>
      </w:pPr>
    </w:p>
    <w:p>
      <w:pPr>
        <w:pStyle w:val="18"/>
        <w:numPr>
          <w:ilvl w:val="0"/>
          <w:numId w:val="17"/>
        </w:numPr>
        <w:adjustRightInd/>
        <w:spacing w:line="360" w:lineRule="auto"/>
        <w:outlineLvl w:val="1"/>
        <w:rPr>
          <w:rFonts w:ascii="宋体" w:hAnsi="宋体" w:cs="宋体"/>
          <w:b/>
          <w:color w:val="auto"/>
          <w:kern w:val="2"/>
          <w:highlight w:val="none"/>
        </w:rPr>
      </w:pPr>
      <w:bookmarkStart w:id="0" w:name="_GoBack"/>
      <w:bookmarkEnd w:id="0"/>
      <w:r>
        <w:rPr>
          <w:rFonts w:hint="eastAsia" w:ascii="宋体" w:hAnsi="宋体" w:cs="宋体"/>
          <w:b/>
          <w:color w:val="auto"/>
          <w:kern w:val="2"/>
          <w:highlight w:val="none"/>
        </w:rPr>
        <w:t>产品要素</w:t>
      </w:r>
    </w:p>
    <w:tbl>
      <w:tblPr>
        <w:tblStyle w:val="9"/>
        <w:tblW w:w="8704"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423"/>
        <w:gridCol w:w="7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产品名称</w:t>
            </w:r>
          </w:p>
        </w:tc>
        <w:tc>
          <w:tcPr>
            <w:tcW w:w="7281" w:type="dxa"/>
            <w:vAlign w:val="center"/>
          </w:tcPr>
          <w:p>
            <w:pPr>
              <w:widowControl/>
              <w:spacing w:line="360" w:lineRule="auto"/>
              <w:contextualSpacing/>
              <w:rPr>
                <w:rFonts w:ascii="宋体" w:hAnsi="宋体" w:cs="宋体"/>
                <w:color w:val="000000"/>
                <w:szCs w:val="21"/>
                <w:highlight w:val="none"/>
              </w:rPr>
            </w:pPr>
            <w:r>
              <w:rPr>
                <w:rFonts w:hint="eastAsia" w:ascii="宋体" w:hAnsi="宋体" w:cs="宋体"/>
                <w:szCs w:val="21"/>
                <w:highlight w:val="none"/>
              </w:rPr>
              <w:t>杭银理财幸福99</w:t>
            </w:r>
            <w:r>
              <w:rPr>
                <w:rFonts w:hint="eastAsia" w:ascii="宋体" w:hAnsi="宋体" w:cs="宋体"/>
                <w:szCs w:val="21"/>
                <w:highlight w:val="none"/>
                <w:lang w:eastAsia="zh-CN"/>
              </w:rPr>
              <w:t>天添益（安享优选）6期</w:t>
            </w:r>
            <w:r>
              <w:rPr>
                <w:rFonts w:hint="eastAsia" w:ascii="宋体" w:hAnsi="宋体" w:cs="宋体"/>
                <w:szCs w:val="21"/>
                <w:highlight w:val="none"/>
              </w:rPr>
              <w:t>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423" w:type="dxa"/>
            <w:vAlign w:val="center"/>
          </w:tcPr>
          <w:p>
            <w:pPr>
              <w:widowControl/>
              <w:spacing w:line="360" w:lineRule="auto"/>
              <w:contextualSpacing/>
              <w:jc w:val="center"/>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rPr>
              <w:t>产品</w:t>
            </w:r>
            <w:r>
              <w:rPr>
                <w:rFonts w:hint="eastAsia" w:ascii="宋体" w:hAnsi="宋体" w:cs="宋体"/>
                <w:color w:val="000000"/>
                <w:szCs w:val="21"/>
                <w:highlight w:val="none"/>
                <w:lang w:val="en-US" w:eastAsia="zh-CN"/>
              </w:rPr>
              <w:t>简称</w:t>
            </w:r>
          </w:p>
        </w:tc>
        <w:tc>
          <w:tcPr>
            <w:tcW w:w="7281" w:type="dxa"/>
            <w:vAlign w:val="center"/>
          </w:tcPr>
          <w:p>
            <w:pPr>
              <w:widowControl/>
              <w:spacing w:line="360" w:lineRule="auto"/>
              <w:contextualSpacing/>
              <w:rPr>
                <w:rFonts w:hint="default" w:ascii="宋体" w:hAnsi="宋体" w:eastAsia="宋体" w:cs="宋体"/>
                <w:szCs w:val="21"/>
                <w:highlight w:val="none"/>
                <w:lang w:val="en-US" w:eastAsia="zh-CN"/>
              </w:rPr>
            </w:pPr>
            <w:r>
              <w:rPr>
                <w:rFonts w:hint="eastAsia" w:ascii="宋体" w:hAnsi="宋体" w:cs="宋体"/>
                <w:szCs w:val="21"/>
                <w:highlight w:val="none"/>
              </w:rPr>
              <w:t>天添益（</w:t>
            </w:r>
            <w:r>
              <w:rPr>
                <w:rFonts w:hint="eastAsia" w:ascii="宋体" w:hAnsi="宋体" w:cs="宋体"/>
                <w:szCs w:val="21"/>
                <w:highlight w:val="none"/>
                <w:lang w:eastAsia="zh-CN"/>
              </w:rPr>
              <w:t>安享优选</w:t>
            </w:r>
            <w:r>
              <w:rPr>
                <w:rFonts w:hint="eastAsia" w:ascii="宋体" w:hAnsi="宋体" w:cs="宋体"/>
                <w:szCs w:val="21"/>
                <w:highlight w:val="none"/>
              </w:rPr>
              <w:t>）</w:t>
            </w:r>
            <w:r>
              <w:rPr>
                <w:rFonts w:hint="eastAsia" w:ascii="宋体" w:hAnsi="宋体" w:cs="宋体"/>
                <w:szCs w:val="21"/>
                <w:highlight w:val="none"/>
                <w:lang w:val="en-US" w:eastAsia="zh-CN"/>
              </w:rPr>
              <w:t>6期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423" w:type="dxa"/>
            <w:vAlign w:val="center"/>
          </w:tcPr>
          <w:p>
            <w:pPr>
              <w:widowControl/>
              <w:spacing w:line="360" w:lineRule="auto"/>
              <w:contextualSpacing/>
              <w:jc w:val="center"/>
              <w:rPr>
                <w:rFonts w:ascii="宋体" w:hAnsi="宋体" w:cs="宋体"/>
                <w:szCs w:val="21"/>
                <w:highlight w:val="none"/>
              </w:rPr>
            </w:pPr>
            <w:r>
              <w:rPr>
                <w:rFonts w:hint="eastAsia" w:ascii="宋体" w:hAnsi="宋体" w:cs="宋体"/>
                <w:szCs w:val="21"/>
                <w:highlight w:val="none"/>
              </w:rPr>
              <w:t>产品编号</w:t>
            </w:r>
          </w:p>
        </w:tc>
        <w:tc>
          <w:tcPr>
            <w:tcW w:w="7281" w:type="dxa"/>
            <w:vAlign w:val="center"/>
          </w:tcPr>
          <w:p>
            <w:pPr>
              <w:widowControl/>
              <w:spacing w:line="360" w:lineRule="auto"/>
              <w:contextualSpacing/>
              <w:rPr>
                <w:rFonts w:ascii="宋体" w:hAnsi="宋体" w:cs="宋体"/>
                <w:color w:val="000000"/>
                <w:szCs w:val="21"/>
                <w:highlight w:val="none"/>
              </w:rPr>
            </w:pPr>
            <w:r>
              <w:rPr>
                <w:rFonts w:hint="eastAsia" w:ascii="宋体" w:hAnsi="宋体" w:cs="宋体"/>
                <w:szCs w:val="21"/>
                <w:highlight w:val="none"/>
              </w:rPr>
              <w:t>〖TYG1D</w:t>
            </w:r>
            <w:r>
              <w:rPr>
                <w:rFonts w:hint="eastAsia" w:ascii="宋体" w:hAnsi="宋体" w:cs="宋体"/>
                <w:szCs w:val="21"/>
                <w:highlight w:val="none"/>
                <w:lang w:val="en-US" w:eastAsia="zh-CN"/>
              </w:rPr>
              <w:t>2306</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登记编码</w:t>
            </w:r>
          </w:p>
        </w:tc>
        <w:tc>
          <w:tcPr>
            <w:tcW w:w="7281" w:type="dxa"/>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本理财计划在全国银行业理财信息登记系统的登记编码是〖</w:t>
            </w:r>
            <w:r>
              <w:rPr>
                <w:rFonts w:hint="eastAsia" w:ascii="宋体" w:hAnsi="宋体" w:cs="宋体"/>
                <w:szCs w:val="21"/>
                <w:highlight w:val="none"/>
              </w:rPr>
              <w:t>Z7002223000297</w:t>
            </w:r>
            <w:r>
              <w:rPr>
                <w:rFonts w:hint="eastAsia" w:ascii="宋体" w:hAnsi="宋体" w:cs="宋体"/>
                <w:color w:val="000000"/>
                <w:szCs w:val="21"/>
                <w:highlight w:val="none"/>
              </w:rPr>
              <w:t>〗，投资者可依据该编码在“中国理财网（www.chinawealth.com.cn）”查询本理财计划信息。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发行对象</w:t>
            </w:r>
          </w:p>
        </w:tc>
        <w:tc>
          <w:tcPr>
            <w:tcW w:w="7281" w:type="dxa"/>
            <w:vAlign w:val="center"/>
          </w:tcPr>
          <w:p>
            <w:pPr>
              <w:widowControl/>
              <w:spacing w:line="360" w:lineRule="auto"/>
              <w:contextualSpacing/>
              <w:rPr>
                <w:rFonts w:hint="eastAsia" w:ascii="宋体" w:hAnsi="宋体" w:cs="宋体"/>
                <w:b/>
                <w:bCs/>
                <w:color w:val="000000"/>
                <w:sz w:val="21"/>
                <w:szCs w:val="21"/>
                <w:highlight w:val="none"/>
              </w:rPr>
            </w:pPr>
            <w:r>
              <w:rPr>
                <w:rFonts w:hint="eastAsia" w:ascii="宋体" w:hAnsi="宋体" w:cs="宋体"/>
                <w:b/>
                <w:bCs/>
                <w:color w:val="000000"/>
                <w:szCs w:val="21"/>
                <w:highlight w:val="none"/>
              </w:rPr>
              <w:t>本理财计划适合〖机构投资者〗以及〖稳健型、平衡型、成长型、进取型〗的个人投资者。</w:t>
            </w:r>
            <w:r>
              <w:rPr>
                <w:rFonts w:hint="eastAsia" w:ascii="宋体" w:hAnsi="宋体" w:cs="宋体"/>
                <w:b/>
                <w:bCs/>
                <w:color w:val="000000"/>
                <w:sz w:val="21"/>
                <w:szCs w:val="21"/>
                <w:highlight w:val="none"/>
              </w:rPr>
              <w:t>投资者风险承受能力评级水平以销售机构评估为准。</w:t>
            </w:r>
          </w:p>
          <w:p>
            <w:pPr>
              <w:widowControl/>
              <w:spacing w:line="360" w:lineRule="auto"/>
              <w:contextualSpacing/>
              <w:rPr>
                <w:rFonts w:hint="eastAsia" w:ascii="宋体" w:hAnsi="宋体" w:cs="宋体"/>
                <w:bCs w:val="0"/>
                <w:color w:val="000000"/>
                <w:sz w:val="21"/>
                <w:szCs w:val="21"/>
                <w:highlight w:val="none"/>
                <w:lang w:val="en-US" w:eastAsia="zh-CN"/>
              </w:rPr>
            </w:pPr>
            <w:r>
              <w:rPr>
                <w:rFonts w:hint="eastAsia" w:ascii="宋体" w:hAnsi="宋体" w:cs="宋体"/>
                <w:bCs w:val="0"/>
                <w:color w:val="000000"/>
                <w:sz w:val="21"/>
                <w:szCs w:val="21"/>
                <w:highlight w:val="none"/>
                <w:lang w:val="en-US" w:eastAsia="zh-CN"/>
              </w:rPr>
              <w:t>其中：</w:t>
            </w:r>
          </w:p>
          <w:p>
            <w:pPr>
              <w:widowControl/>
              <w:spacing w:line="360" w:lineRule="auto"/>
              <w:contextualSpacing/>
              <w:rPr>
                <w:rFonts w:hint="eastAsia" w:ascii="宋体" w:hAnsi="宋体" w:cs="宋体"/>
                <w:b w:val="0"/>
                <w:bCs w:val="0"/>
                <w:color w:val="000000"/>
                <w:sz w:val="21"/>
                <w:szCs w:val="21"/>
                <w:highlight w:val="none"/>
                <w:lang w:val="en-US" w:eastAsia="zh-CN"/>
              </w:rPr>
            </w:pPr>
            <w:r>
              <w:rPr>
                <w:rFonts w:hint="eastAsia" w:ascii="宋体" w:hAnsi="宋体" w:cs="宋体"/>
                <w:bCs w:val="0"/>
                <w:color w:val="000000"/>
                <w:sz w:val="21"/>
                <w:szCs w:val="21"/>
                <w:highlight w:val="none"/>
                <w:lang w:val="en-US" w:eastAsia="zh-CN"/>
              </w:rPr>
              <w:t>A份额（销售代码</w:t>
            </w:r>
            <w:r>
              <w:rPr>
                <w:rFonts w:hint="eastAsia" w:ascii="宋体" w:hAnsi="宋体" w:cs="宋体"/>
                <w:color w:val="000000"/>
                <w:szCs w:val="21"/>
                <w:highlight w:val="none"/>
              </w:rPr>
              <w:t>〖</w:t>
            </w:r>
            <w:r>
              <w:rPr>
                <w:rFonts w:hint="eastAsia" w:ascii="宋体" w:hAnsi="宋体" w:cs="宋体"/>
                <w:color w:val="000000"/>
                <w:szCs w:val="21"/>
                <w:highlight w:val="none"/>
                <w:lang w:eastAsia="zh-CN"/>
              </w:rPr>
              <w:t>TYG1D2306</w:t>
            </w:r>
            <w:r>
              <w:rPr>
                <w:rFonts w:hint="eastAsia" w:ascii="宋体" w:hAnsi="宋体" w:cs="宋体"/>
                <w:color w:val="000000"/>
                <w:szCs w:val="21"/>
                <w:highlight w:val="none"/>
                <w:lang w:val="en-US" w:eastAsia="zh-CN"/>
              </w:rPr>
              <w:t>A</w:t>
            </w:r>
            <w:r>
              <w:rPr>
                <w:rFonts w:hint="eastAsia" w:ascii="宋体" w:hAnsi="宋体" w:cs="宋体"/>
                <w:color w:val="000000"/>
                <w:szCs w:val="21"/>
                <w:highlight w:val="none"/>
              </w:rPr>
              <w:t>〗</w:t>
            </w:r>
            <w:r>
              <w:rPr>
                <w:rFonts w:hint="eastAsia" w:ascii="宋体" w:hAnsi="宋体" w:cs="宋体"/>
                <w:bCs w:val="0"/>
                <w:color w:val="000000"/>
                <w:sz w:val="21"/>
                <w:szCs w:val="21"/>
                <w:highlight w:val="none"/>
                <w:lang w:val="en-US" w:eastAsia="zh-CN"/>
              </w:rPr>
              <w:t>）</w:t>
            </w:r>
            <w:r>
              <w:rPr>
                <w:rFonts w:hint="eastAsia" w:ascii="宋体" w:hAnsi="宋体" w:cs="宋体"/>
                <w:color w:val="000000"/>
                <w:szCs w:val="21"/>
                <w:highlight w:val="none"/>
                <w:lang w:val="en-US" w:eastAsia="zh-CN"/>
              </w:rPr>
              <w:t>面向</w:t>
            </w:r>
            <w:r>
              <w:rPr>
                <w:rFonts w:hint="eastAsia" w:ascii="宋体" w:hAnsi="宋体" w:cs="宋体"/>
                <w:b w:val="0"/>
                <w:bCs w:val="0"/>
                <w:color w:val="000000"/>
                <w:sz w:val="21"/>
                <w:szCs w:val="21"/>
                <w:highlight w:val="none"/>
                <w:lang w:eastAsia="zh-CN"/>
              </w:rPr>
              <w:t>〖普通个人</w:t>
            </w:r>
            <w:r>
              <w:rPr>
                <w:rFonts w:hint="eastAsia" w:ascii="宋体" w:hAnsi="宋体" w:cs="宋体"/>
                <w:b w:val="0"/>
                <w:bCs w:val="0"/>
                <w:color w:val="000000"/>
                <w:sz w:val="21"/>
                <w:szCs w:val="21"/>
                <w:highlight w:val="none"/>
                <w:lang w:val="en-US" w:eastAsia="zh-CN"/>
              </w:rPr>
              <w:t>投资者</w:t>
            </w:r>
            <w:r>
              <w:rPr>
                <w:rFonts w:hint="eastAsia" w:ascii="宋体" w:hAnsi="宋体" w:cs="宋体"/>
                <w:b w:val="0"/>
                <w:bCs w:val="0"/>
                <w:color w:val="000000"/>
                <w:sz w:val="21"/>
                <w:szCs w:val="21"/>
                <w:highlight w:val="none"/>
                <w:lang w:eastAsia="zh-CN"/>
              </w:rPr>
              <w:t>和机构</w:t>
            </w:r>
            <w:r>
              <w:rPr>
                <w:rFonts w:hint="eastAsia" w:ascii="宋体" w:hAnsi="宋体" w:cs="宋体"/>
                <w:b w:val="0"/>
                <w:bCs w:val="0"/>
                <w:color w:val="000000"/>
                <w:sz w:val="21"/>
                <w:szCs w:val="21"/>
                <w:highlight w:val="none"/>
                <w:lang w:val="en-US" w:eastAsia="zh-CN"/>
              </w:rPr>
              <w:t>投资者</w:t>
            </w:r>
            <w:r>
              <w:rPr>
                <w:rFonts w:hint="eastAsia" w:ascii="宋体" w:hAnsi="宋体" w:cs="宋体"/>
                <w:b w:val="0"/>
                <w:bCs w:val="0"/>
                <w:color w:val="000000"/>
                <w:sz w:val="21"/>
                <w:szCs w:val="21"/>
                <w:highlight w:val="none"/>
                <w:lang w:eastAsia="zh-CN"/>
              </w:rPr>
              <w:t>〗发售</w:t>
            </w:r>
            <w:r>
              <w:rPr>
                <w:rFonts w:hint="eastAsia" w:ascii="宋体" w:hAnsi="宋体" w:cs="宋体"/>
                <w:b w:val="0"/>
                <w:bCs w:val="0"/>
                <w:color w:val="000000"/>
                <w:sz w:val="21"/>
                <w:szCs w:val="21"/>
                <w:highlight w:val="none"/>
                <w:lang w:val="en-US" w:eastAsia="zh-CN"/>
              </w:rPr>
              <w:t>。</w:t>
            </w:r>
          </w:p>
          <w:p>
            <w:pPr>
              <w:widowControl/>
              <w:spacing w:line="360" w:lineRule="auto"/>
              <w:contextualSpacing/>
              <w:rPr>
                <w:rFonts w:hint="eastAsia" w:ascii="宋体" w:hAnsi="宋体" w:cs="宋体"/>
                <w:b w:val="0"/>
                <w:bCs w:val="0"/>
                <w:color w:val="000000"/>
                <w:sz w:val="21"/>
                <w:szCs w:val="21"/>
                <w:highlight w:val="none"/>
                <w:lang w:eastAsia="zh-CN"/>
              </w:rPr>
            </w:pPr>
            <w:r>
              <w:rPr>
                <w:rFonts w:hint="eastAsia" w:ascii="宋体" w:hAnsi="宋体" w:cs="宋体"/>
                <w:bCs w:val="0"/>
                <w:color w:val="000000"/>
                <w:sz w:val="21"/>
                <w:szCs w:val="21"/>
                <w:highlight w:val="none"/>
                <w:lang w:val="en-US" w:eastAsia="zh-CN"/>
              </w:rPr>
              <w:t>B份额（销售代码</w:t>
            </w:r>
            <w:r>
              <w:rPr>
                <w:rFonts w:hint="eastAsia" w:ascii="宋体" w:hAnsi="宋体" w:cs="宋体"/>
                <w:color w:val="000000"/>
                <w:szCs w:val="21"/>
                <w:highlight w:val="none"/>
              </w:rPr>
              <w:t>〖</w:t>
            </w:r>
            <w:r>
              <w:rPr>
                <w:rFonts w:hint="eastAsia" w:ascii="宋体" w:hAnsi="宋体" w:cs="宋体"/>
                <w:color w:val="000000"/>
                <w:szCs w:val="21"/>
                <w:highlight w:val="none"/>
                <w:lang w:eastAsia="zh-CN"/>
              </w:rPr>
              <w:t>TYG1D2306</w:t>
            </w:r>
            <w:r>
              <w:rPr>
                <w:rFonts w:hint="eastAsia" w:ascii="宋体" w:hAnsi="宋体" w:cs="宋体"/>
                <w:color w:val="000000"/>
                <w:szCs w:val="21"/>
                <w:highlight w:val="none"/>
                <w:lang w:val="en-US" w:eastAsia="zh-CN"/>
              </w:rPr>
              <w:t>B</w:t>
            </w:r>
            <w:r>
              <w:rPr>
                <w:rFonts w:hint="eastAsia" w:ascii="宋体" w:hAnsi="宋体" w:cs="宋体"/>
                <w:color w:val="000000"/>
                <w:szCs w:val="21"/>
                <w:highlight w:val="none"/>
              </w:rPr>
              <w:t>〗</w:t>
            </w:r>
            <w:r>
              <w:rPr>
                <w:rFonts w:hint="eastAsia" w:ascii="宋体" w:hAnsi="宋体" w:cs="宋体"/>
                <w:bCs w:val="0"/>
                <w:color w:val="000000"/>
                <w:sz w:val="21"/>
                <w:szCs w:val="21"/>
                <w:highlight w:val="none"/>
                <w:lang w:val="en-US" w:eastAsia="zh-CN"/>
              </w:rPr>
              <w:t>）</w:t>
            </w:r>
            <w:r>
              <w:rPr>
                <w:rFonts w:hint="eastAsia" w:ascii="宋体" w:hAnsi="宋体" w:cs="宋体"/>
                <w:color w:val="000000"/>
                <w:szCs w:val="21"/>
                <w:highlight w:val="none"/>
                <w:lang w:val="en-US" w:eastAsia="zh-CN"/>
              </w:rPr>
              <w:t>面向</w:t>
            </w:r>
            <w:r>
              <w:rPr>
                <w:rFonts w:hint="eastAsia" w:ascii="宋体" w:hAnsi="宋体" w:cs="宋体"/>
                <w:b w:val="0"/>
                <w:bCs w:val="0"/>
                <w:color w:val="000000"/>
                <w:sz w:val="21"/>
                <w:szCs w:val="21"/>
                <w:highlight w:val="none"/>
                <w:lang w:eastAsia="zh-CN"/>
              </w:rPr>
              <w:t>〖普通个人</w:t>
            </w:r>
            <w:r>
              <w:rPr>
                <w:rFonts w:hint="eastAsia" w:ascii="宋体" w:hAnsi="宋体" w:cs="宋体"/>
                <w:b w:val="0"/>
                <w:bCs w:val="0"/>
                <w:color w:val="000000"/>
                <w:sz w:val="21"/>
                <w:szCs w:val="21"/>
                <w:highlight w:val="none"/>
                <w:lang w:val="en-US" w:eastAsia="zh-CN"/>
              </w:rPr>
              <w:t>投资者</w:t>
            </w:r>
            <w:r>
              <w:rPr>
                <w:rFonts w:hint="eastAsia" w:ascii="宋体" w:hAnsi="宋体" w:cs="宋体"/>
                <w:b w:val="0"/>
                <w:bCs w:val="0"/>
                <w:color w:val="000000"/>
                <w:sz w:val="21"/>
                <w:szCs w:val="21"/>
                <w:highlight w:val="none"/>
                <w:lang w:eastAsia="zh-CN"/>
              </w:rPr>
              <w:t>和机构</w:t>
            </w:r>
            <w:r>
              <w:rPr>
                <w:rFonts w:hint="eastAsia" w:ascii="宋体" w:hAnsi="宋体" w:cs="宋体"/>
                <w:b w:val="0"/>
                <w:bCs w:val="0"/>
                <w:color w:val="000000"/>
                <w:sz w:val="21"/>
                <w:szCs w:val="21"/>
                <w:highlight w:val="none"/>
                <w:lang w:val="en-US" w:eastAsia="zh-CN"/>
              </w:rPr>
              <w:t>投资者</w:t>
            </w:r>
            <w:r>
              <w:rPr>
                <w:rFonts w:hint="eastAsia" w:ascii="宋体" w:hAnsi="宋体" w:cs="宋体"/>
                <w:b w:val="0"/>
                <w:bCs w:val="0"/>
                <w:color w:val="000000"/>
                <w:sz w:val="21"/>
                <w:szCs w:val="21"/>
                <w:highlight w:val="none"/>
                <w:lang w:eastAsia="zh-CN"/>
              </w:rPr>
              <w:t>〗发售。</w:t>
            </w:r>
          </w:p>
          <w:p>
            <w:pPr>
              <w:widowControl/>
              <w:spacing w:line="360" w:lineRule="auto"/>
              <w:contextualSpacing/>
              <w:rPr>
                <w:rFonts w:hint="eastAsia" w:ascii="宋体" w:hAnsi="宋体" w:cs="宋体"/>
                <w:b w:val="0"/>
                <w:bCs w:val="0"/>
                <w:color w:val="000000"/>
                <w:sz w:val="21"/>
                <w:szCs w:val="21"/>
                <w:highlight w:val="none"/>
                <w:lang w:eastAsia="zh-CN"/>
              </w:rPr>
            </w:pPr>
            <w:r>
              <w:rPr>
                <w:rFonts w:hint="eastAsia" w:ascii="宋体" w:hAnsi="宋体" w:cs="宋体"/>
                <w:bCs w:val="0"/>
                <w:color w:val="000000"/>
                <w:sz w:val="21"/>
                <w:szCs w:val="21"/>
                <w:highlight w:val="none"/>
                <w:lang w:val="en-US" w:eastAsia="zh-CN"/>
              </w:rPr>
              <w:t>C份额（销售代码</w:t>
            </w:r>
            <w:r>
              <w:rPr>
                <w:rFonts w:hint="eastAsia" w:ascii="宋体" w:hAnsi="宋体" w:cs="宋体"/>
                <w:color w:val="000000"/>
                <w:szCs w:val="21"/>
                <w:highlight w:val="none"/>
              </w:rPr>
              <w:t>〖</w:t>
            </w:r>
            <w:r>
              <w:rPr>
                <w:rFonts w:hint="eastAsia" w:ascii="宋体" w:hAnsi="宋体" w:cs="宋体"/>
                <w:color w:val="000000"/>
                <w:szCs w:val="21"/>
                <w:highlight w:val="none"/>
                <w:lang w:eastAsia="zh-CN"/>
              </w:rPr>
              <w:t>TYG1D2306</w:t>
            </w:r>
            <w:r>
              <w:rPr>
                <w:rFonts w:hint="eastAsia" w:ascii="宋体" w:hAnsi="宋体" w:cs="宋体"/>
                <w:color w:val="000000"/>
                <w:szCs w:val="21"/>
                <w:highlight w:val="none"/>
                <w:lang w:val="en-US" w:eastAsia="zh-CN"/>
              </w:rPr>
              <w:t>C</w:t>
            </w:r>
            <w:r>
              <w:rPr>
                <w:rFonts w:hint="eastAsia" w:ascii="宋体" w:hAnsi="宋体" w:cs="宋体"/>
                <w:color w:val="000000"/>
                <w:szCs w:val="21"/>
                <w:highlight w:val="none"/>
              </w:rPr>
              <w:t>〗</w:t>
            </w:r>
            <w:r>
              <w:rPr>
                <w:rFonts w:hint="eastAsia" w:ascii="宋体" w:hAnsi="宋体" w:cs="宋体"/>
                <w:bCs w:val="0"/>
                <w:color w:val="000000"/>
                <w:sz w:val="21"/>
                <w:szCs w:val="21"/>
                <w:highlight w:val="none"/>
                <w:lang w:val="en-US" w:eastAsia="zh-CN"/>
              </w:rPr>
              <w:t>）</w:t>
            </w:r>
            <w:r>
              <w:rPr>
                <w:rFonts w:hint="eastAsia" w:ascii="宋体" w:hAnsi="宋体" w:cs="宋体"/>
                <w:color w:val="000000"/>
                <w:szCs w:val="21"/>
                <w:highlight w:val="none"/>
                <w:lang w:val="en-US" w:eastAsia="zh-CN"/>
              </w:rPr>
              <w:t>面向</w:t>
            </w:r>
            <w:r>
              <w:rPr>
                <w:rFonts w:hint="eastAsia" w:ascii="宋体" w:hAnsi="宋体" w:cs="宋体"/>
                <w:b w:val="0"/>
                <w:bCs w:val="0"/>
                <w:color w:val="000000"/>
                <w:sz w:val="21"/>
                <w:szCs w:val="21"/>
                <w:highlight w:val="none"/>
                <w:lang w:eastAsia="zh-CN"/>
              </w:rPr>
              <w:t>〖普通个人</w:t>
            </w:r>
            <w:r>
              <w:rPr>
                <w:rFonts w:hint="eastAsia" w:ascii="宋体" w:hAnsi="宋体" w:cs="宋体"/>
                <w:b w:val="0"/>
                <w:bCs w:val="0"/>
                <w:color w:val="000000"/>
                <w:sz w:val="21"/>
                <w:szCs w:val="21"/>
                <w:highlight w:val="none"/>
                <w:lang w:val="en-US" w:eastAsia="zh-CN"/>
              </w:rPr>
              <w:t>投资者</w:t>
            </w:r>
            <w:r>
              <w:rPr>
                <w:rFonts w:hint="eastAsia" w:ascii="宋体" w:hAnsi="宋体" w:cs="宋体"/>
                <w:b w:val="0"/>
                <w:bCs w:val="0"/>
                <w:color w:val="000000"/>
                <w:sz w:val="21"/>
                <w:szCs w:val="21"/>
                <w:highlight w:val="none"/>
                <w:lang w:eastAsia="zh-CN"/>
              </w:rPr>
              <w:t>和机构</w:t>
            </w:r>
            <w:r>
              <w:rPr>
                <w:rFonts w:hint="eastAsia" w:ascii="宋体" w:hAnsi="宋体" w:cs="宋体"/>
                <w:b w:val="0"/>
                <w:bCs w:val="0"/>
                <w:color w:val="000000"/>
                <w:sz w:val="21"/>
                <w:szCs w:val="21"/>
                <w:highlight w:val="none"/>
                <w:lang w:val="en-US" w:eastAsia="zh-CN"/>
              </w:rPr>
              <w:t>投资者</w:t>
            </w:r>
            <w:r>
              <w:rPr>
                <w:rFonts w:hint="eastAsia" w:ascii="宋体" w:hAnsi="宋体" w:cs="宋体"/>
                <w:b w:val="0"/>
                <w:bCs w:val="0"/>
                <w:color w:val="000000"/>
                <w:sz w:val="21"/>
                <w:szCs w:val="21"/>
                <w:highlight w:val="none"/>
                <w:lang w:eastAsia="zh-CN"/>
              </w:rPr>
              <w:t>〗发售。</w:t>
            </w:r>
          </w:p>
          <w:p>
            <w:pPr>
              <w:widowControl/>
              <w:spacing w:line="360" w:lineRule="auto"/>
              <w:contextualSpacing/>
              <w:rPr>
                <w:rFonts w:hint="eastAsia" w:ascii="宋体" w:hAnsi="宋体" w:cs="宋体"/>
                <w:b w:val="0"/>
                <w:bCs w:val="0"/>
                <w:color w:val="000000"/>
                <w:sz w:val="21"/>
                <w:szCs w:val="21"/>
                <w:highlight w:val="none"/>
                <w:lang w:eastAsia="zh-CN"/>
              </w:rPr>
            </w:pPr>
            <w:r>
              <w:rPr>
                <w:rFonts w:hint="eastAsia" w:ascii="宋体" w:hAnsi="宋体" w:cs="宋体"/>
                <w:bCs w:val="0"/>
                <w:color w:val="000000"/>
                <w:sz w:val="21"/>
                <w:szCs w:val="21"/>
                <w:highlight w:val="none"/>
                <w:lang w:val="en-US" w:eastAsia="zh-CN"/>
              </w:rPr>
              <w:t>D份额（销售代码</w:t>
            </w:r>
            <w:r>
              <w:rPr>
                <w:rFonts w:hint="eastAsia" w:ascii="宋体" w:hAnsi="宋体" w:cs="宋体"/>
                <w:color w:val="000000"/>
                <w:szCs w:val="21"/>
                <w:highlight w:val="none"/>
              </w:rPr>
              <w:t>〖</w:t>
            </w:r>
            <w:r>
              <w:rPr>
                <w:rFonts w:hint="eastAsia" w:ascii="宋体" w:hAnsi="宋体" w:cs="宋体"/>
                <w:color w:val="000000"/>
                <w:szCs w:val="21"/>
                <w:highlight w:val="none"/>
                <w:lang w:eastAsia="zh-CN"/>
              </w:rPr>
              <w:t>TYG1D2306</w:t>
            </w:r>
            <w:r>
              <w:rPr>
                <w:rFonts w:hint="eastAsia" w:ascii="宋体" w:hAnsi="宋体" w:cs="宋体"/>
                <w:color w:val="000000"/>
                <w:szCs w:val="21"/>
                <w:highlight w:val="none"/>
                <w:lang w:val="en-US" w:eastAsia="zh-CN"/>
              </w:rPr>
              <w:t>D</w:t>
            </w:r>
            <w:r>
              <w:rPr>
                <w:rFonts w:hint="eastAsia" w:ascii="宋体" w:hAnsi="宋体" w:cs="宋体"/>
                <w:color w:val="000000"/>
                <w:szCs w:val="21"/>
                <w:highlight w:val="none"/>
              </w:rPr>
              <w:t>〗</w:t>
            </w:r>
            <w:r>
              <w:rPr>
                <w:rFonts w:hint="eastAsia" w:ascii="宋体" w:hAnsi="宋体" w:cs="宋体"/>
                <w:bCs w:val="0"/>
                <w:color w:val="000000"/>
                <w:sz w:val="21"/>
                <w:szCs w:val="21"/>
                <w:highlight w:val="none"/>
                <w:lang w:val="en-US" w:eastAsia="zh-CN"/>
              </w:rPr>
              <w:t>）</w:t>
            </w:r>
            <w:r>
              <w:rPr>
                <w:rFonts w:hint="eastAsia" w:ascii="宋体" w:hAnsi="宋体" w:cs="宋体"/>
                <w:color w:val="000000"/>
                <w:szCs w:val="21"/>
                <w:highlight w:val="none"/>
                <w:lang w:val="en-US" w:eastAsia="zh-CN"/>
              </w:rPr>
              <w:t>面向</w:t>
            </w:r>
            <w:r>
              <w:rPr>
                <w:rFonts w:hint="eastAsia" w:ascii="宋体" w:hAnsi="宋体" w:cs="宋体"/>
                <w:b w:val="0"/>
                <w:bCs w:val="0"/>
                <w:color w:val="000000"/>
                <w:sz w:val="21"/>
                <w:szCs w:val="21"/>
                <w:highlight w:val="none"/>
                <w:lang w:eastAsia="zh-CN"/>
              </w:rPr>
              <w:t>〖普通个人</w:t>
            </w:r>
            <w:r>
              <w:rPr>
                <w:rFonts w:hint="eastAsia" w:ascii="宋体" w:hAnsi="宋体" w:cs="宋体"/>
                <w:b w:val="0"/>
                <w:bCs w:val="0"/>
                <w:color w:val="000000"/>
                <w:sz w:val="21"/>
                <w:szCs w:val="21"/>
                <w:highlight w:val="none"/>
                <w:lang w:val="en-US" w:eastAsia="zh-CN"/>
              </w:rPr>
              <w:t>投资者</w:t>
            </w:r>
            <w:r>
              <w:rPr>
                <w:rFonts w:hint="eastAsia" w:ascii="宋体" w:hAnsi="宋体" w:cs="宋体"/>
                <w:b w:val="0"/>
                <w:bCs w:val="0"/>
                <w:color w:val="000000"/>
                <w:sz w:val="21"/>
                <w:szCs w:val="21"/>
                <w:highlight w:val="none"/>
                <w:lang w:eastAsia="zh-CN"/>
              </w:rPr>
              <w:t>和机构</w:t>
            </w:r>
            <w:r>
              <w:rPr>
                <w:rFonts w:hint="eastAsia" w:ascii="宋体" w:hAnsi="宋体" w:cs="宋体"/>
                <w:b w:val="0"/>
                <w:bCs w:val="0"/>
                <w:color w:val="000000"/>
                <w:sz w:val="21"/>
                <w:szCs w:val="21"/>
                <w:highlight w:val="none"/>
                <w:lang w:val="en-US" w:eastAsia="zh-CN"/>
              </w:rPr>
              <w:t>投资者</w:t>
            </w:r>
            <w:r>
              <w:rPr>
                <w:rFonts w:hint="eastAsia" w:ascii="宋体" w:hAnsi="宋体" w:cs="宋体"/>
                <w:b w:val="0"/>
                <w:bCs w:val="0"/>
                <w:color w:val="000000"/>
                <w:sz w:val="21"/>
                <w:szCs w:val="21"/>
                <w:highlight w:val="none"/>
                <w:lang w:eastAsia="zh-CN"/>
              </w:rPr>
              <w:t>〗发售。</w:t>
            </w:r>
          </w:p>
          <w:p>
            <w:pPr>
              <w:widowControl/>
              <w:spacing w:line="360" w:lineRule="auto"/>
              <w:contextualSpacing/>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val="en-US" w:eastAsia="zh-CN"/>
              </w:rPr>
              <w:t>E</w:t>
            </w:r>
            <w:r>
              <w:rPr>
                <w:rFonts w:hint="eastAsia" w:ascii="宋体" w:hAnsi="宋体" w:cs="宋体"/>
                <w:bCs w:val="0"/>
                <w:color w:val="000000"/>
                <w:sz w:val="21"/>
                <w:szCs w:val="21"/>
                <w:highlight w:val="none"/>
                <w:lang w:val="en-US" w:eastAsia="zh-CN"/>
              </w:rPr>
              <w:t>份额（销售代码</w:t>
            </w:r>
            <w:r>
              <w:rPr>
                <w:rFonts w:hint="eastAsia" w:ascii="宋体" w:hAnsi="宋体" w:cs="宋体"/>
                <w:color w:val="000000"/>
                <w:szCs w:val="21"/>
                <w:highlight w:val="none"/>
              </w:rPr>
              <w:t>〖</w:t>
            </w:r>
            <w:r>
              <w:rPr>
                <w:rFonts w:hint="eastAsia" w:ascii="宋体" w:hAnsi="宋体" w:cs="宋体"/>
                <w:color w:val="000000"/>
                <w:szCs w:val="21"/>
                <w:highlight w:val="none"/>
                <w:lang w:eastAsia="zh-CN"/>
              </w:rPr>
              <w:t>TYG1D2306</w:t>
            </w:r>
            <w:r>
              <w:rPr>
                <w:rFonts w:hint="eastAsia" w:ascii="宋体" w:hAnsi="宋体" w:cs="宋体"/>
                <w:color w:val="000000"/>
                <w:szCs w:val="21"/>
                <w:highlight w:val="none"/>
                <w:lang w:val="en-US" w:eastAsia="zh-CN"/>
              </w:rPr>
              <w:t>E</w:t>
            </w:r>
            <w:r>
              <w:rPr>
                <w:rFonts w:hint="eastAsia" w:ascii="宋体" w:hAnsi="宋体" w:cs="宋体"/>
                <w:color w:val="000000"/>
                <w:szCs w:val="21"/>
                <w:highlight w:val="none"/>
              </w:rPr>
              <w:t>〗</w:t>
            </w:r>
            <w:r>
              <w:rPr>
                <w:rFonts w:hint="eastAsia" w:ascii="宋体" w:hAnsi="宋体" w:cs="宋体"/>
                <w:bCs w:val="0"/>
                <w:color w:val="000000"/>
                <w:sz w:val="21"/>
                <w:szCs w:val="21"/>
                <w:highlight w:val="none"/>
                <w:lang w:val="en-US" w:eastAsia="zh-CN"/>
              </w:rPr>
              <w:t>）</w:t>
            </w:r>
            <w:r>
              <w:rPr>
                <w:rFonts w:hint="eastAsia" w:ascii="宋体" w:hAnsi="宋体" w:cs="宋体"/>
                <w:color w:val="000000"/>
                <w:szCs w:val="21"/>
                <w:highlight w:val="none"/>
                <w:lang w:val="en-US" w:eastAsia="zh-CN"/>
              </w:rPr>
              <w:t>面向</w:t>
            </w:r>
            <w:r>
              <w:rPr>
                <w:rFonts w:hint="eastAsia" w:ascii="宋体" w:hAnsi="宋体" w:cs="宋体"/>
                <w:b w:val="0"/>
                <w:bCs w:val="0"/>
                <w:color w:val="000000"/>
                <w:sz w:val="21"/>
                <w:szCs w:val="21"/>
                <w:highlight w:val="none"/>
                <w:lang w:eastAsia="zh-CN"/>
              </w:rPr>
              <w:t>〖</w:t>
            </w:r>
            <w:r>
              <w:rPr>
                <w:rFonts w:hint="eastAsia" w:ascii="宋体" w:hAnsi="宋体" w:cs="宋体"/>
                <w:b w:val="0"/>
                <w:bCs w:val="0"/>
                <w:color w:val="000000"/>
                <w:sz w:val="21"/>
                <w:szCs w:val="21"/>
                <w:highlight w:val="none"/>
                <w:lang w:val="en-US" w:eastAsia="zh-CN"/>
              </w:rPr>
              <w:t>代销机构的</w:t>
            </w:r>
            <w:r>
              <w:rPr>
                <w:rFonts w:hint="eastAsia" w:ascii="宋体" w:hAnsi="宋体" w:cs="宋体"/>
                <w:b w:val="0"/>
                <w:bCs w:val="0"/>
                <w:color w:val="000000"/>
                <w:sz w:val="21"/>
                <w:szCs w:val="21"/>
                <w:highlight w:val="none"/>
                <w:lang w:eastAsia="zh-CN"/>
              </w:rPr>
              <w:t>普通个人</w:t>
            </w:r>
            <w:r>
              <w:rPr>
                <w:rFonts w:hint="eastAsia" w:ascii="宋体" w:hAnsi="宋体" w:cs="宋体"/>
                <w:b w:val="0"/>
                <w:bCs w:val="0"/>
                <w:color w:val="000000"/>
                <w:sz w:val="21"/>
                <w:szCs w:val="21"/>
                <w:highlight w:val="none"/>
                <w:lang w:val="en-US" w:eastAsia="zh-CN"/>
              </w:rPr>
              <w:t>投资者</w:t>
            </w:r>
            <w:r>
              <w:rPr>
                <w:rFonts w:hint="eastAsia" w:ascii="宋体" w:hAnsi="宋体" w:cs="宋体"/>
                <w:b w:val="0"/>
                <w:bCs w:val="0"/>
                <w:color w:val="000000"/>
                <w:sz w:val="21"/>
                <w:szCs w:val="21"/>
                <w:highlight w:val="none"/>
                <w:lang w:eastAsia="zh-CN"/>
              </w:rPr>
              <w:t>和机构</w:t>
            </w:r>
            <w:r>
              <w:rPr>
                <w:rFonts w:hint="eastAsia" w:ascii="宋体" w:hAnsi="宋体" w:cs="宋体"/>
                <w:b w:val="0"/>
                <w:bCs w:val="0"/>
                <w:color w:val="000000"/>
                <w:sz w:val="21"/>
                <w:szCs w:val="21"/>
                <w:highlight w:val="none"/>
                <w:lang w:val="en-US" w:eastAsia="zh-CN"/>
              </w:rPr>
              <w:t>投资者</w:t>
            </w:r>
            <w:r>
              <w:rPr>
                <w:rFonts w:hint="eastAsia" w:ascii="宋体" w:hAnsi="宋体" w:cs="宋体"/>
                <w:b w:val="0"/>
                <w:bCs w:val="0"/>
                <w:color w:val="000000"/>
                <w:sz w:val="21"/>
                <w:szCs w:val="21"/>
                <w:highlight w:val="none"/>
                <w:lang w:eastAsia="zh-CN"/>
              </w:rPr>
              <w:t>〗发售。</w:t>
            </w:r>
          </w:p>
          <w:p>
            <w:pPr>
              <w:widowControl/>
              <w:spacing w:line="360" w:lineRule="auto"/>
              <w:contextualSpacing/>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val="en-US" w:eastAsia="zh-CN"/>
              </w:rPr>
              <w:t>F</w:t>
            </w:r>
            <w:r>
              <w:rPr>
                <w:rFonts w:hint="eastAsia" w:ascii="宋体" w:hAnsi="宋体" w:cs="宋体"/>
                <w:bCs w:val="0"/>
                <w:color w:val="000000"/>
                <w:sz w:val="21"/>
                <w:szCs w:val="21"/>
                <w:highlight w:val="none"/>
                <w:lang w:val="en-US" w:eastAsia="zh-CN"/>
              </w:rPr>
              <w:t>份额（销售代码</w:t>
            </w:r>
            <w:r>
              <w:rPr>
                <w:rFonts w:hint="eastAsia" w:ascii="宋体" w:hAnsi="宋体" w:cs="宋体"/>
                <w:color w:val="000000"/>
                <w:szCs w:val="21"/>
                <w:highlight w:val="none"/>
              </w:rPr>
              <w:t>〖</w:t>
            </w:r>
            <w:r>
              <w:rPr>
                <w:rFonts w:hint="eastAsia" w:ascii="宋体" w:hAnsi="宋体" w:cs="宋体"/>
                <w:color w:val="000000"/>
                <w:szCs w:val="21"/>
                <w:highlight w:val="none"/>
                <w:lang w:eastAsia="zh-CN"/>
              </w:rPr>
              <w:t>TYG1D2306</w:t>
            </w:r>
            <w:r>
              <w:rPr>
                <w:rFonts w:hint="eastAsia" w:ascii="宋体" w:hAnsi="宋体" w:cs="宋体"/>
                <w:color w:val="000000"/>
                <w:szCs w:val="21"/>
                <w:highlight w:val="none"/>
                <w:lang w:val="en-US" w:eastAsia="zh-CN"/>
              </w:rPr>
              <w:t>F</w:t>
            </w:r>
            <w:r>
              <w:rPr>
                <w:rFonts w:hint="eastAsia" w:ascii="宋体" w:hAnsi="宋体" w:cs="宋体"/>
                <w:color w:val="000000"/>
                <w:szCs w:val="21"/>
                <w:highlight w:val="none"/>
              </w:rPr>
              <w:t>〗</w:t>
            </w:r>
            <w:r>
              <w:rPr>
                <w:rFonts w:hint="eastAsia" w:ascii="宋体" w:hAnsi="宋体" w:cs="宋体"/>
                <w:bCs w:val="0"/>
                <w:color w:val="000000"/>
                <w:sz w:val="21"/>
                <w:szCs w:val="21"/>
                <w:highlight w:val="none"/>
                <w:lang w:val="en-US" w:eastAsia="zh-CN"/>
              </w:rPr>
              <w:t>）</w:t>
            </w:r>
            <w:r>
              <w:rPr>
                <w:rFonts w:hint="eastAsia" w:ascii="宋体" w:hAnsi="宋体" w:cs="宋体"/>
                <w:color w:val="000000"/>
                <w:szCs w:val="21"/>
                <w:highlight w:val="none"/>
                <w:lang w:val="en-US" w:eastAsia="zh-CN"/>
              </w:rPr>
              <w:t>面向</w:t>
            </w:r>
            <w:r>
              <w:rPr>
                <w:rFonts w:hint="eastAsia" w:ascii="宋体" w:hAnsi="宋体" w:cs="宋体"/>
                <w:b w:val="0"/>
                <w:bCs w:val="0"/>
                <w:color w:val="000000"/>
                <w:sz w:val="21"/>
                <w:szCs w:val="21"/>
                <w:highlight w:val="none"/>
                <w:lang w:eastAsia="zh-CN"/>
              </w:rPr>
              <w:t>〖个人</w:t>
            </w:r>
            <w:r>
              <w:rPr>
                <w:rFonts w:hint="eastAsia" w:ascii="宋体" w:hAnsi="宋体" w:cs="宋体"/>
                <w:b w:val="0"/>
                <w:bCs w:val="0"/>
                <w:color w:val="000000"/>
                <w:sz w:val="21"/>
                <w:szCs w:val="21"/>
                <w:highlight w:val="none"/>
                <w:lang w:val="en-US" w:eastAsia="zh-CN"/>
              </w:rPr>
              <w:t>投资者</w:t>
            </w:r>
            <w:r>
              <w:rPr>
                <w:rFonts w:hint="eastAsia" w:ascii="宋体" w:hAnsi="宋体" w:cs="宋体"/>
                <w:b w:val="0"/>
                <w:bCs w:val="0"/>
                <w:color w:val="000000"/>
                <w:sz w:val="21"/>
                <w:szCs w:val="21"/>
                <w:highlight w:val="none"/>
                <w:lang w:eastAsia="zh-CN"/>
              </w:rPr>
              <w:t>和机构</w:t>
            </w:r>
            <w:r>
              <w:rPr>
                <w:rFonts w:hint="eastAsia" w:ascii="宋体" w:hAnsi="宋体" w:cs="宋体"/>
                <w:b w:val="0"/>
                <w:bCs w:val="0"/>
                <w:color w:val="000000"/>
                <w:sz w:val="21"/>
                <w:szCs w:val="21"/>
                <w:highlight w:val="none"/>
                <w:lang w:val="en-US" w:eastAsia="zh-CN"/>
              </w:rPr>
              <w:t>投资者</w:t>
            </w:r>
            <w:r>
              <w:rPr>
                <w:rFonts w:hint="eastAsia" w:ascii="宋体" w:hAnsi="宋体" w:cs="宋体"/>
                <w:b w:val="0"/>
                <w:bCs w:val="0"/>
                <w:color w:val="000000"/>
                <w:sz w:val="21"/>
                <w:szCs w:val="21"/>
                <w:highlight w:val="none"/>
                <w:lang w:eastAsia="zh-CN"/>
              </w:rPr>
              <w:t>〗发售。</w:t>
            </w:r>
          </w:p>
          <w:p>
            <w:pPr>
              <w:widowControl/>
              <w:spacing w:line="360" w:lineRule="auto"/>
              <w:contextualSpacing/>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val="en-US" w:eastAsia="zh-CN"/>
              </w:rPr>
              <w:t>G份额</w:t>
            </w:r>
            <w:r>
              <w:rPr>
                <w:rFonts w:hint="eastAsia" w:ascii="宋体" w:hAnsi="宋体" w:cs="宋体"/>
                <w:bCs w:val="0"/>
                <w:color w:val="000000"/>
                <w:sz w:val="21"/>
                <w:szCs w:val="21"/>
                <w:highlight w:val="none"/>
                <w:lang w:val="en-US" w:eastAsia="zh-CN"/>
              </w:rPr>
              <w:t>（销售代码</w:t>
            </w:r>
            <w:r>
              <w:rPr>
                <w:rFonts w:hint="eastAsia" w:ascii="宋体" w:hAnsi="宋体" w:cs="宋体"/>
                <w:color w:val="000000"/>
                <w:szCs w:val="21"/>
                <w:highlight w:val="none"/>
              </w:rPr>
              <w:t>〖</w:t>
            </w:r>
            <w:r>
              <w:rPr>
                <w:rFonts w:hint="eastAsia" w:ascii="宋体" w:hAnsi="宋体" w:cs="宋体"/>
                <w:color w:val="000000"/>
                <w:szCs w:val="21"/>
                <w:highlight w:val="none"/>
                <w:lang w:eastAsia="zh-CN"/>
              </w:rPr>
              <w:t>TYG1D2306</w:t>
            </w:r>
            <w:r>
              <w:rPr>
                <w:rFonts w:hint="eastAsia" w:ascii="宋体" w:hAnsi="宋体" w:cs="宋体"/>
                <w:color w:val="000000"/>
                <w:szCs w:val="21"/>
                <w:highlight w:val="none"/>
                <w:lang w:val="en-US" w:eastAsia="zh-CN"/>
              </w:rPr>
              <w:t>G</w:t>
            </w:r>
            <w:r>
              <w:rPr>
                <w:rFonts w:hint="eastAsia" w:ascii="宋体" w:hAnsi="宋体" w:cs="宋体"/>
                <w:color w:val="000000"/>
                <w:szCs w:val="21"/>
                <w:highlight w:val="none"/>
              </w:rPr>
              <w:t>〗</w:t>
            </w:r>
            <w:r>
              <w:rPr>
                <w:rFonts w:hint="eastAsia" w:ascii="宋体" w:hAnsi="宋体" w:cs="宋体"/>
                <w:bCs w:val="0"/>
                <w:color w:val="000000"/>
                <w:sz w:val="21"/>
                <w:szCs w:val="21"/>
                <w:highlight w:val="none"/>
                <w:lang w:val="en-US" w:eastAsia="zh-CN"/>
              </w:rPr>
              <w:t>）</w:t>
            </w:r>
            <w:r>
              <w:rPr>
                <w:rFonts w:hint="eastAsia" w:ascii="宋体" w:hAnsi="宋体" w:cs="宋体"/>
                <w:color w:val="000000"/>
                <w:szCs w:val="21"/>
                <w:highlight w:val="none"/>
                <w:lang w:val="en-US" w:eastAsia="zh-CN"/>
              </w:rPr>
              <w:t>面向</w:t>
            </w:r>
            <w:r>
              <w:rPr>
                <w:rFonts w:hint="eastAsia" w:ascii="宋体" w:hAnsi="宋体" w:cs="宋体"/>
                <w:b w:val="0"/>
                <w:bCs w:val="0"/>
                <w:color w:val="000000"/>
                <w:sz w:val="21"/>
                <w:szCs w:val="21"/>
                <w:highlight w:val="none"/>
                <w:lang w:eastAsia="zh-CN"/>
              </w:rPr>
              <w:t>〖</w:t>
            </w:r>
            <w:r>
              <w:rPr>
                <w:rFonts w:hint="eastAsia" w:ascii="宋体" w:hAnsi="宋体" w:cs="宋体"/>
                <w:b w:val="0"/>
                <w:bCs w:val="0"/>
                <w:color w:val="000000"/>
                <w:sz w:val="21"/>
                <w:szCs w:val="21"/>
                <w:highlight w:val="none"/>
                <w:lang w:val="en-US" w:eastAsia="zh-CN"/>
              </w:rPr>
              <w:t>其他代销机构</w:t>
            </w:r>
            <w:r>
              <w:rPr>
                <w:rFonts w:hint="eastAsia" w:ascii="宋体" w:hAnsi="宋体" w:cs="宋体"/>
                <w:b w:val="0"/>
                <w:bCs w:val="0"/>
                <w:color w:val="000000"/>
                <w:sz w:val="21"/>
                <w:szCs w:val="21"/>
                <w:highlight w:val="none"/>
                <w:lang w:eastAsia="zh-CN"/>
              </w:rPr>
              <w:t>〗发售。</w:t>
            </w:r>
          </w:p>
          <w:p>
            <w:pPr>
              <w:widowControl/>
              <w:spacing w:line="360" w:lineRule="auto"/>
              <w:contextualSpacing/>
              <w:rPr>
                <w:rFonts w:hint="eastAsia" w:ascii="宋体" w:hAnsi="宋体" w:cs="宋体"/>
                <w:b w:val="0"/>
                <w:bCs w:val="0"/>
                <w:color w:val="000000"/>
                <w:sz w:val="21"/>
                <w:szCs w:val="21"/>
                <w:highlight w:val="none"/>
                <w:lang w:val="en-US" w:eastAsia="zh-CN"/>
              </w:rPr>
            </w:pPr>
            <w:r>
              <w:rPr>
                <w:rFonts w:hint="eastAsia" w:ascii="宋体" w:hAnsi="宋体" w:cs="宋体"/>
                <w:b w:val="0"/>
                <w:bCs w:val="0"/>
                <w:color w:val="000000"/>
                <w:sz w:val="21"/>
                <w:szCs w:val="21"/>
                <w:highlight w:val="none"/>
                <w:lang w:val="en-US" w:eastAsia="zh-CN"/>
              </w:rPr>
              <w:t>H份额（</w:t>
            </w:r>
            <w:r>
              <w:rPr>
                <w:rFonts w:hint="eastAsia" w:ascii="宋体" w:hAnsi="宋体" w:cs="宋体"/>
                <w:bCs w:val="0"/>
                <w:color w:val="000000"/>
                <w:sz w:val="21"/>
                <w:szCs w:val="21"/>
                <w:highlight w:val="none"/>
                <w:lang w:val="en-US" w:eastAsia="zh-CN"/>
              </w:rPr>
              <w:t>销售代码</w:t>
            </w:r>
            <w:r>
              <w:rPr>
                <w:rFonts w:hint="eastAsia" w:ascii="宋体" w:hAnsi="宋体" w:cs="宋体"/>
                <w:color w:val="000000"/>
                <w:szCs w:val="21"/>
                <w:highlight w:val="none"/>
              </w:rPr>
              <w:t>〖</w:t>
            </w:r>
            <w:r>
              <w:rPr>
                <w:rFonts w:hint="eastAsia" w:ascii="宋体" w:hAnsi="宋体" w:cs="宋体"/>
                <w:color w:val="000000"/>
                <w:szCs w:val="21"/>
                <w:highlight w:val="none"/>
                <w:lang w:eastAsia="zh-CN"/>
              </w:rPr>
              <w:t>TYG1D2306</w:t>
            </w:r>
            <w:r>
              <w:rPr>
                <w:rFonts w:hint="eastAsia" w:ascii="宋体" w:hAnsi="宋体" w:cs="宋体"/>
                <w:color w:val="000000"/>
                <w:szCs w:val="21"/>
                <w:highlight w:val="none"/>
                <w:lang w:val="en-US" w:eastAsia="zh-CN"/>
              </w:rPr>
              <w:t>H</w:t>
            </w:r>
            <w:r>
              <w:rPr>
                <w:rFonts w:hint="eastAsia" w:ascii="宋体" w:hAnsi="宋体" w:cs="宋体"/>
                <w:color w:val="000000"/>
                <w:szCs w:val="21"/>
                <w:highlight w:val="none"/>
              </w:rPr>
              <w:t>〗</w:t>
            </w:r>
            <w:r>
              <w:rPr>
                <w:rFonts w:hint="eastAsia" w:ascii="宋体" w:hAnsi="宋体" w:cs="宋体"/>
                <w:b w:val="0"/>
                <w:bCs w:val="0"/>
                <w:color w:val="000000"/>
                <w:sz w:val="21"/>
                <w:szCs w:val="21"/>
                <w:highlight w:val="none"/>
                <w:lang w:val="en-US" w:eastAsia="zh-CN"/>
              </w:rPr>
              <w:t>）面向</w:t>
            </w:r>
            <w:r>
              <w:rPr>
                <w:rFonts w:hint="eastAsia" w:ascii="宋体" w:hAnsi="宋体" w:cs="宋体"/>
                <w:b w:val="0"/>
                <w:bCs w:val="0"/>
                <w:color w:val="000000"/>
                <w:sz w:val="21"/>
                <w:szCs w:val="21"/>
                <w:highlight w:val="none"/>
                <w:lang w:eastAsia="zh-CN"/>
              </w:rPr>
              <w:t>〖</w:t>
            </w:r>
            <w:r>
              <w:rPr>
                <w:rFonts w:hint="eastAsia" w:ascii="宋体" w:hAnsi="宋体" w:cs="宋体"/>
                <w:b w:val="0"/>
                <w:bCs w:val="0"/>
                <w:color w:val="000000"/>
                <w:sz w:val="21"/>
                <w:szCs w:val="21"/>
                <w:highlight w:val="none"/>
                <w:lang w:val="en-US" w:eastAsia="zh-CN"/>
              </w:rPr>
              <w:t>新市民客户</w:t>
            </w:r>
            <w:r>
              <w:rPr>
                <w:rFonts w:hint="eastAsia" w:ascii="宋体" w:hAnsi="宋体" w:cs="宋体"/>
                <w:b w:val="0"/>
                <w:bCs w:val="0"/>
                <w:color w:val="000000"/>
                <w:sz w:val="21"/>
                <w:szCs w:val="21"/>
                <w:highlight w:val="none"/>
                <w:lang w:eastAsia="zh-CN"/>
              </w:rPr>
              <w:t>〗</w:t>
            </w:r>
            <w:r>
              <w:rPr>
                <w:rFonts w:hint="eastAsia" w:ascii="宋体" w:hAnsi="宋体" w:cs="宋体"/>
                <w:b w:val="0"/>
                <w:bCs w:val="0"/>
                <w:color w:val="000000"/>
                <w:sz w:val="21"/>
                <w:szCs w:val="21"/>
                <w:highlight w:val="none"/>
                <w:lang w:val="en-US" w:eastAsia="zh-CN"/>
              </w:rPr>
              <w:t>发售。</w:t>
            </w:r>
          </w:p>
          <w:p>
            <w:pPr>
              <w:widowControl/>
              <w:spacing w:line="360" w:lineRule="auto"/>
              <w:contextualSpacing/>
              <w:rPr>
                <w:rFonts w:hint="default" w:ascii="宋体" w:hAnsi="宋体" w:cs="宋体"/>
                <w:b w:val="0"/>
                <w:bCs w:val="0"/>
                <w:color w:val="000000"/>
                <w:sz w:val="21"/>
                <w:szCs w:val="21"/>
                <w:highlight w:val="none"/>
                <w:lang w:val="en-US" w:eastAsia="zh-CN"/>
              </w:rPr>
            </w:pPr>
            <w:r>
              <w:rPr>
                <w:rFonts w:hint="eastAsia" w:ascii="宋体" w:hAnsi="宋体" w:cs="宋体"/>
                <w:b w:val="0"/>
                <w:bCs w:val="0"/>
                <w:color w:val="000000"/>
                <w:sz w:val="21"/>
                <w:szCs w:val="21"/>
                <w:highlight w:val="none"/>
                <w:lang w:val="en-US" w:eastAsia="zh-CN"/>
              </w:rPr>
              <w:t>Y份额</w:t>
            </w:r>
            <w:r>
              <w:rPr>
                <w:rFonts w:hint="eastAsia" w:ascii="宋体" w:hAnsi="宋体" w:cs="宋体"/>
                <w:bCs w:val="0"/>
                <w:color w:val="000000"/>
                <w:sz w:val="21"/>
                <w:szCs w:val="21"/>
                <w:highlight w:val="none"/>
                <w:lang w:val="en-US" w:eastAsia="zh-CN"/>
              </w:rPr>
              <w:t>（销售代码</w:t>
            </w:r>
            <w:r>
              <w:rPr>
                <w:rFonts w:hint="eastAsia" w:ascii="宋体" w:hAnsi="宋体" w:cs="宋体"/>
                <w:color w:val="000000"/>
                <w:szCs w:val="21"/>
                <w:highlight w:val="none"/>
              </w:rPr>
              <w:t>〖</w:t>
            </w:r>
            <w:r>
              <w:rPr>
                <w:rFonts w:hint="eastAsia" w:ascii="宋体" w:hAnsi="宋体" w:cs="宋体"/>
                <w:color w:val="000000"/>
                <w:szCs w:val="21"/>
                <w:highlight w:val="none"/>
                <w:lang w:eastAsia="zh-CN"/>
              </w:rPr>
              <w:t>TYG1D2306</w:t>
            </w:r>
            <w:r>
              <w:rPr>
                <w:rFonts w:hint="eastAsia" w:ascii="宋体" w:hAnsi="宋体" w:cs="宋体"/>
                <w:color w:val="000000"/>
                <w:szCs w:val="21"/>
                <w:highlight w:val="none"/>
                <w:lang w:val="en-US" w:eastAsia="zh-CN"/>
              </w:rPr>
              <w:t>Y</w:t>
            </w:r>
            <w:r>
              <w:rPr>
                <w:rFonts w:hint="eastAsia" w:ascii="宋体" w:hAnsi="宋体" w:cs="宋体"/>
                <w:color w:val="000000"/>
                <w:szCs w:val="21"/>
                <w:highlight w:val="none"/>
              </w:rPr>
              <w:t>〗</w:t>
            </w:r>
            <w:r>
              <w:rPr>
                <w:rFonts w:hint="eastAsia" w:ascii="宋体" w:hAnsi="宋体" w:cs="宋体"/>
                <w:bCs w:val="0"/>
                <w:color w:val="000000"/>
                <w:sz w:val="21"/>
                <w:szCs w:val="21"/>
                <w:highlight w:val="none"/>
                <w:lang w:val="en-US" w:eastAsia="zh-CN"/>
              </w:rPr>
              <w:t>）</w:t>
            </w:r>
            <w:r>
              <w:rPr>
                <w:rFonts w:hint="eastAsia" w:ascii="宋体" w:hAnsi="宋体" w:cs="宋体"/>
                <w:color w:val="000000"/>
                <w:szCs w:val="21"/>
                <w:highlight w:val="none"/>
                <w:lang w:val="en-US" w:eastAsia="zh-CN"/>
              </w:rPr>
              <w:t>面向</w:t>
            </w:r>
            <w:r>
              <w:rPr>
                <w:rFonts w:hint="eastAsia" w:ascii="宋体" w:hAnsi="宋体" w:cs="宋体"/>
                <w:b w:val="0"/>
                <w:bCs w:val="0"/>
                <w:color w:val="000000"/>
                <w:sz w:val="21"/>
                <w:szCs w:val="21"/>
                <w:highlight w:val="none"/>
                <w:lang w:eastAsia="zh-CN"/>
              </w:rPr>
              <w:t>〖</w:t>
            </w:r>
            <w:r>
              <w:rPr>
                <w:rFonts w:hint="eastAsia" w:ascii="宋体" w:hAnsi="宋体" w:cs="宋体"/>
                <w:b w:val="0"/>
                <w:bCs w:val="0"/>
                <w:color w:val="000000"/>
                <w:sz w:val="21"/>
                <w:szCs w:val="21"/>
                <w:highlight w:val="none"/>
                <w:lang w:val="en-US" w:eastAsia="zh-CN"/>
              </w:rPr>
              <w:t>其他代销机构</w:t>
            </w:r>
            <w:r>
              <w:rPr>
                <w:rFonts w:hint="eastAsia" w:ascii="宋体" w:hAnsi="宋体" w:cs="宋体"/>
                <w:b w:val="0"/>
                <w:bCs w:val="0"/>
                <w:color w:val="000000"/>
                <w:sz w:val="21"/>
                <w:szCs w:val="21"/>
                <w:highlight w:val="none"/>
                <w:lang w:eastAsia="zh-CN"/>
              </w:rPr>
              <w:t>〗发售。</w:t>
            </w:r>
          </w:p>
          <w:p>
            <w:pPr>
              <w:widowControl/>
              <w:spacing w:line="360" w:lineRule="auto"/>
              <w:contextualSpacing/>
              <w:rPr>
                <w:rFonts w:hint="default" w:ascii="宋体" w:hAnsi="宋体" w:cs="宋体"/>
                <w:b w:val="0"/>
                <w:bCs/>
                <w:color w:val="000000"/>
                <w:sz w:val="21"/>
                <w:szCs w:val="21"/>
                <w:highlight w:val="none"/>
                <w:lang w:val="en-US" w:eastAsia="zh-CN"/>
              </w:rPr>
            </w:pPr>
            <w:r>
              <w:rPr>
                <w:rFonts w:hint="eastAsia" w:ascii="宋体" w:hAnsi="宋体" w:cs="宋体"/>
                <w:b w:val="0"/>
                <w:bCs w:val="0"/>
                <w:color w:val="000000"/>
                <w:sz w:val="21"/>
                <w:szCs w:val="21"/>
                <w:highlight w:val="none"/>
                <w:lang w:val="en-US" w:eastAsia="zh-CN"/>
              </w:rPr>
              <w:t>Z</w:t>
            </w:r>
            <w:r>
              <w:rPr>
                <w:rFonts w:hint="eastAsia" w:ascii="宋体" w:hAnsi="宋体" w:cs="宋体"/>
                <w:bCs w:val="0"/>
                <w:color w:val="000000"/>
                <w:sz w:val="21"/>
                <w:szCs w:val="21"/>
                <w:highlight w:val="none"/>
                <w:lang w:val="en-US" w:eastAsia="zh-CN"/>
              </w:rPr>
              <w:t>份额（销售代码</w:t>
            </w:r>
            <w:r>
              <w:rPr>
                <w:rFonts w:hint="eastAsia" w:ascii="宋体" w:hAnsi="宋体" w:cs="宋体"/>
                <w:color w:val="000000"/>
                <w:szCs w:val="21"/>
                <w:highlight w:val="none"/>
              </w:rPr>
              <w:t>〖</w:t>
            </w:r>
            <w:r>
              <w:rPr>
                <w:rFonts w:hint="eastAsia" w:ascii="宋体" w:hAnsi="宋体" w:cs="宋体"/>
                <w:color w:val="000000"/>
                <w:szCs w:val="21"/>
                <w:highlight w:val="none"/>
                <w:lang w:eastAsia="zh-CN"/>
              </w:rPr>
              <w:t>TYG1D2306</w:t>
            </w:r>
            <w:r>
              <w:rPr>
                <w:rFonts w:hint="eastAsia" w:ascii="宋体" w:hAnsi="宋体" w:cs="宋体"/>
                <w:color w:val="000000"/>
                <w:szCs w:val="21"/>
                <w:highlight w:val="none"/>
                <w:lang w:val="en-US" w:eastAsia="zh-CN"/>
              </w:rPr>
              <w:t>Z</w:t>
            </w:r>
            <w:r>
              <w:rPr>
                <w:rFonts w:hint="eastAsia" w:ascii="宋体" w:hAnsi="宋体" w:cs="宋体"/>
                <w:color w:val="000000"/>
                <w:szCs w:val="21"/>
                <w:highlight w:val="none"/>
              </w:rPr>
              <w:t>〗</w:t>
            </w:r>
            <w:r>
              <w:rPr>
                <w:rFonts w:hint="eastAsia" w:ascii="宋体" w:hAnsi="宋体" w:cs="宋体"/>
                <w:bCs w:val="0"/>
                <w:color w:val="000000"/>
                <w:sz w:val="21"/>
                <w:szCs w:val="21"/>
                <w:highlight w:val="none"/>
                <w:lang w:val="en-US" w:eastAsia="zh-CN"/>
              </w:rPr>
              <w:t>）</w:t>
            </w:r>
            <w:r>
              <w:rPr>
                <w:rFonts w:hint="eastAsia" w:ascii="宋体" w:hAnsi="宋体" w:cs="宋体"/>
                <w:color w:val="000000"/>
                <w:szCs w:val="21"/>
                <w:highlight w:val="none"/>
                <w:lang w:val="en-US" w:eastAsia="zh-CN"/>
              </w:rPr>
              <w:t>面向</w:t>
            </w:r>
            <w:r>
              <w:rPr>
                <w:rFonts w:hint="eastAsia" w:ascii="宋体" w:hAnsi="宋体" w:cs="宋体"/>
                <w:b w:val="0"/>
                <w:bCs w:val="0"/>
                <w:color w:val="000000"/>
                <w:sz w:val="21"/>
                <w:szCs w:val="21"/>
                <w:highlight w:val="none"/>
                <w:lang w:eastAsia="zh-CN"/>
              </w:rPr>
              <w:t>〖</w:t>
            </w:r>
            <w:r>
              <w:rPr>
                <w:rFonts w:hint="eastAsia" w:ascii="宋体" w:hAnsi="宋体" w:cs="宋体"/>
                <w:b w:val="0"/>
                <w:bCs w:val="0"/>
                <w:color w:val="000000"/>
                <w:sz w:val="21"/>
                <w:szCs w:val="21"/>
                <w:highlight w:val="none"/>
                <w:lang w:val="en-US" w:eastAsia="zh-CN"/>
              </w:rPr>
              <w:t>其他代销机构</w:t>
            </w:r>
            <w:r>
              <w:rPr>
                <w:rFonts w:hint="eastAsia" w:ascii="宋体" w:hAnsi="宋体" w:cs="宋体"/>
                <w:b w:val="0"/>
                <w:bCs w:val="0"/>
                <w:color w:val="000000"/>
                <w:sz w:val="21"/>
                <w:szCs w:val="21"/>
                <w:highlight w:val="none"/>
                <w:lang w:eastAsia="zh-CN"/>
              </w:rPr>
              <w:t>〗发售。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发行方式</w:t>
            </w:r>
          </w:p>
        </w:tc>
        <w:tc>
          <w:tcPr>
            <w:tcW w:w="7281" w:type="dxa"/>
            <w:vAlign w:val="center"/>
          </w:tcPr>
          <w:p>
            <w:pPr>
              <w:widowControl/>
              <w:spacing w:line="360" w:lineRule="auto"/>
              <w:contextualSpacing/>
              <w:rPr>
                <w:rFonts w:ascii="宋体" w:hAnsi="宋体" w:cs="宋体"/>
                <w:color w:val="000000"/>
                <w:szCs w:val="21"/>
                <w:highlight w:val="none"/>
              </w:rPr>
            </w:pPr>
            <w:r>
              <w:rPr>
                <w:rFonts w:hint="eastAsia" w:ascii="宋体" w:hAnsi="宋体" w:cs="宋体"/>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产品类型</w:t>
            </w:r>
          </w:p>
        </w:tc>
        <w:tc>
          <w:tcPr>
            <w:tcW w:w="7281" w:type="dxa"/>
            <w:vAlign w:val="center"/>
          </w:tcPr>
          <w:p>
            <w:pPr>
              <w:widowControl/>
              <w:spacing w:line="360" w:lineRule="auto"/>
              <w:contextualSpacing/>
              <w:rPr>
                <w:rFonts w:ascii="宋体" w:hAnsi="宋体" w:cs="宋体"/>
                <w:color w:val="000000"/>
                <w:szCs w:val="21"/>
                <w:highlight w:val="none"/>
              </w:rPr>
            </w:pPr>
            <w:r>
              <w:rPr>
                <w:rFonts w:hint="eastAsia" w:ascii="宋体" w:hAnsi="宋体" w:cs="宋体"/>
                <w:szCs w:val="21"/>
                <w:highlight w:val="none"/>
              </w:rPr>
              <w:t>〖固定收益〗</w:t>
            </w:r>
            <w:r>
              <w:rPr>
                <w:rFonts w:hint="eastAsia" w:ascii="宋体" w:hAnsi="宋体" w:cs="宋体"/>
                <w:color w:val="000000"/>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运作模式</w:t>
            </w:r>
          </w:p>
        </w:tc>
        <w:tc>
          <w:tcPr>
            <w:tcW w:w="7281" w:type="dxa"/>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销售范围</w:t>
            </w:r>
          </w:p>
        </w:tc>
        <w:tc>
          <w:tcPr>
            <w:tcW w:w="7281" w:type="dxa"/>
            <w:vAlign w:val="center"/>
          </w:tcPr>
          <w:p>
            <w:pPr>
              <w:widowControl/>
              <w:spacing w:line="360" w:lineRule="auto"/>
              <w:contextualSpacing/>
              <w:rPr>
                <w:rFonts w:ascii="宋体" w:hAnsi="宋体" w:cs="宋体"/>
                <w:color w:val="000000"/>
                <w:szCs w:val="21"/>
                <w:highlight w:val="none"/>
              </w:rPr>
            </w:pPr>
            <w:r>
              <w:rPr>
                <w:rFonts w:hint="eastAsia" w:ascii="宋体" w:hAnsi="宋体" w:cs="宋体"/>
                <w:szCs w:val="21"/>
                <w:highlight w:val="none"/>
              </w:rPr>
              <w:t>〖</w:t>
            </w:r>
            <w:r>
              <w:rPr>
                <w:rFonts w:hint="eastAsia" w:ascii="宋体" w:hAnsi="宋体" w:cs="宋体"/>
                <w:color w:val="000000"/>
                <w:szCs w:val="21"/>
                <w:highlight w:val="none"/>
              </w:rPr>
              <w:t>全国</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销售渠道</w:t>
            </w:r>
          </w:p>
        </w:tc>
        <w:tc>
          <w:tcPr>
            <w:tcW w:w="7281" w:type="dxa"/>
            <w:vAlign w:val="center"/>
          </w:tcPr>
          <w:p>
            <w:pPr>
              <w:widowControl/>
              <w:spacing w:line="360" w:lineRule="auto"/>
              <w:contextualSpacing/>
              <w:jc w:val="left"/>
              <w:rPr>
                <w:rFonts w:ascii="宋体" w:hAnsi="宋体" w:cs="宋体"/>
                <w:color w:val="000000"/>
                <w:szCs w:val="21"/>
                <w:highlight w:val="none"/>
              </w:rPr>
            </w:pPr>
            <w:r>
              <w:rPr>
                <w:rFonts w:hint="eastAsia" w:ascii="宋体" w:hAnsi="宋体" w:cs="宋体"/>
                <w:color w:val="000000"/>
                <w:szCs w:val="21"/>
                <w:highlight w:val="none"/>
              </w:rPr>
              <w:t>可通过</w:t>
            </w:r>
            <w:r>
              <w:rPr>
                <w:rFonts w:hint="eastAsia" w:ascii="宋体" w:hAnsi="宋体" w:cs="宋体"/>
                <w:color w:val="000000"/>
                <w:sz w:val="21"/>
                <w:szCs w:val="21"/>
                <w:highlight w:val="none"/>
              </w:rPr>
              <w:t>杭银理财直销渠道</w:t>
            </w:r>
            <w:r>
              <w:rPr>
                <w:rFonts w:hint="eastAsia" w:ascii="宋体" w:hAnsi="宋体" w:cs="宋体"/>
                <w:color w:val="000000"/>
                <w:sz w:val="21"/>
                <w:szCs w:val="21"/>
                <w:highlight w:val="none"/>
                <w:lang w:eastAsia="zh-CN"/>
              </w:rPr>
              <w:t>和代理</w:t>
            </w:r>
            <w:r>
              <w:rPr>
                <w:rFonts w:hint="eastAsia" w:ascii="宋体" w:hAnsi="宋体" w:cs="宋体"/>
                <w:color w:val="000000"/>
                <w:szCs w:val="21"/>
                <w:highlight w:val="none"/>
              </w:rPr>
              <w:t>销售机构的</w:t>
            </w:r>
            <w:r>
              <w:rPr>
                <w:rFonts w:hint="eastAsia" w:ascii="宋体" w:hAnsi="宋体" w:cs="宋体"/>
                <w:szCs w:val="21"/>
                <w:highlight w:val="none"/>
              </w:rPr>
              <w:t>〖</w:t>
            </w:r>
            <w:r>
              <w:rPr>
                <w:rFonts w:hint="eastAsia" w:ascii="宋体" w:hAnsi="宋体" w:cs="宋体"/>
                <w:color w:val="000000"/>
                <w:szCs w:val="21"/>
                <w:highlight w:val="none"/>
              </w:rPr>
              <w:t>营业网点、网上银行、手机银行</w:t>
            </w:r>
            <w:r>
              <w:rPr>
                <w:rFonts w:hint="eastAsia" w:ascii="宋体" w:hAnsi="宋体" w:cs="宋体"/>
                <w:szCs w:val="21"/>
                <w:highlight w:val="none"/>
              </w:rPr>
              <w:t>〗</w:t>
            </w:r>
            <w:r>
              <w:rPr>
                <w:rFonts w:hint="eastAsia" w:ascii="宋体" w:hAnsi="宋体" w:cs="宋体"/>
                <w:color w:val="000000"/>
                <w:szCs w:val="21"/>
                <w:highlight w:val="none"/>
              </w:rPr>
              <w:t>等渠道购买</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通过代理销售机构购买的，具体销售渠道以代理销售机构披露为准</w:t>
            </w:r>
            <w:r>
              <w:rPr>
                <w:rFonts w:hint="eastAsia" w:ascii="宋体" w:hAnsi="宋体" w:cs="宋体"/>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交易币种</w:t>
            </w:r>
          </w:p>
        </w:tc>
        <w:tc>
          <w:tcPr>
            <w:tcW w:w="7281" w:type="dxa"/>
            <w:vAlign w:val="center"/>
          </w:tcPr>
          <w:p>
            <w:pPr>
              <w:widowControl/>
              <w:spacing w:line="360" w:lineRule="auto"/>
              <w:contextualSpacing/>
              <w:rPr>
                <w:rFonts w:ascii="宋体" w:hAnsi="宋体" w:cs="宋体"/>
                <w:color w:val="000000"/>
                <w:szCs w:val="21"/>
                <w:highlight w:val="none"/>
              </w:rPr>
            </w:pPr>
            <w:r>
              <w:rPr>
                <w:rFonts w:hint="eastAsia" w:ascii="宋体" w:hAnsi="宋体" w:cs="宋体"/>
                <w:szCs w:val="21"/>
                <w:highlight w:val="none"/>
              </w:rPr>
              <w:t>〖</w:t>
            </w:r>
            <w:r>
              <w:rPr>
                <w:rFonts w:hint="eastAsia" w:ascii="宋体" w:hAnsi="宋体" w:cs="宋体"/>
                <w:color w:val="000000"/>
                <w:szCs w:val="21"/>
                <w:highlight w:val="none"/>
              </w:rPr>
              <w:t>人民币</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发行规模上限</w:t>
            </w:r>
          </w:p>
        </w:tc>
        <w:tc>
          <w:tcPr>
            <w:tcW w:w="7281" w:type="dxa"/>
            <w:vAlign w:val="center"/>
          </w:tcPr>
          <w:p>
            <w:pPr>
              <w:widowControl/>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300</w:t>
            </w:r>
            <w:r>
              <w:rPr>
                <w:rFonts w:hint="eastAsia" w:ascii="宋体" w:hAnsi="宋体" w:cs="宋体"/>
                <w:color w:val="000000"/>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认购期</w:t>
            </w:r>
          </w:p>
        </w:tc>
        <w:tc>
          <w:tcPr>
            <w:tcW w:w="7281" w:type="dxa"/>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2023</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11</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24</w:t>
            </w:r>
            <w:r>
              <w:rPr>
                <w:rFonts w:hint="eastAsia" w:ascii="宋体" w:hAnsi="宋体" w:cs="宋体"/>
                <w:color w:val="000000"/>
                <w:szCs w:val="21"/>
                <w:highlight w:val="none"/>
              </w:rPr>
              <w:t>〗日-〖</w:t>
            </w:r>
            <w:r>
              <w:rPr>
                <w:rFonts w:hint="eastAsia" w:ascii="宋体" w:hAnsi="宋体" w:cs="宋体"/>
                <w:color w:val="000000"/>
                <w:szCs w:val="21"/>
                <w:highlight w:val="none"/>
                <w:lang w:val="en-US" w:eastAsia="zh-CN"/>
              </w:rPr>
              <w:t>2023</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11</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24</w:t>
            </w:r>
            <w:r>
              <w:rPr>
                <w:rFonts w:hint="eastAsia" w:ascii="宋体" w:hAnsi="宋体" w:cs="宋体"/>
                <w:color w:val="000000"/>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认购时间</w:t>
            </w:r>
          </w:p>
        </w:tc>
        <w:tc>
          <w:tcPr>
            <w:tcW w:w="7281" w:type="dxa"/>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认购期首日〖9：00〗至认购结束日〖1</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45</w:t>
            </w:r>
            <w:r>
              <w:rPr>
                <w:rFonts w:hint="eastAsia" w:ascii="宋体" w:hAnsi="宋体" w:cs="宋体"/>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成立日</w:t>
            </w:r>
          </w:p>
        </w:tc>
        <w:tc>
          <w:tcPr>
            <w:tcW w:w="7281" w:type="dxa"/>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2023</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11</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27</w:t>
            </w:r>
            <w:r>
              <w:rPr>
                <w:rFonts w:hint="eastAsia" w:ascii="宋体" w:hAnsi="宋体" w:cs="宋体"/>
                <w:color w:val="000000"/>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理财期限</w:t>
            </w:r>
          </w:p>
        </w:tc>
        <w:tc>
          <w:tcPr>
            <w:tcW w:w="7281" w:type="dxa"/>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无固定期限（实际理财期限受制于管理人</w:t>
            </w:r>
            <w:r>
              <w:rPr>
                <w:rFonts w:hint="eastAsia" w:ascii="宋体" w:hAnsi="宋体" w:cs="宋体"/>
                <w:color w:val="000000"/>
                <w:sz w:val="21"/>
                <w:szCs w:val="21"/>
                <w:highlight w:val="none"/>
              </w:rPr>
              <w:t>提前</w:t>
            </w:r>
            <w:r>
              <w:rPr>
                <w:rFonts w:hint="eastAsia" w:ascii="宋体" w:hAnsi="宋体" w:cs="宋体"/>
                <w:color w:val="000000"/>
                <w:szCs w:val="21"/>
                <w:highlight w:val="none"/>
              </w:rPr>
              <w:t>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认购/申购</w:t>
            </w:r>
          </w:p>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起点金额</w:t>
            </w:r>
          </w:p>
        </w:tc>
        <w:tc>
          <w:tcPr>
            <w:tcW w:w="7281" w:type="dxa"/>
            <w:vAlign w:val="center"/>
          </w:tcPr>
          <w:p>
            <w:pPr>
              <w:widowControl/>
              <w:spacing w:line="360" w:lineRule="auto"/>
              <w:contextualSpacing/>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A</w:t>
            </w:r>
            <w:r>
              <w:rPr>
                <w:rFonts w:hint="eastAsia" w:ascii="宋体" w:hAnsi="宋体" w:cs="宋体"/>
                <w:bCs w:val="0"/>
                <w:color w:val="000000"/>
                <w:sz w:val="21"/>
                <w:szCs w:val="21"/>
                <w:highlight w:val="none"/>
                <w:lang w:val="en-US" w:eastAsia="zh-CN"/>
              </w:rPr>
              <w:t>份额</w:t>
            </w:r>
            <w:r>
              <w:rPr>
                <w:rFonts w:hint="eastAsia" w:ascii="宋体" w:hAnsi="宋体" w:cs="宋体"/>
                <w:color w:val="000000"/>
                <w:sz w:val="21"/>
                <w:szCs w:val="21"/>
                <w:highlight w:val="none"/>
              </w:rPr>
              <w:t>〗</w:t>
            </w:r>
            <w:r>
              <w:rPr>
                <w:rFonts w:hint="eastAsia" w:ascii="宋体" w:hAnsi="宋体" w:cs="宋体"/>
                <w:bCs w:val="0"/>
                <w:color w:val="000000"/>
                <w:szCs w:val="21"/>
                <w:highlight w:val="none"/>
              </w:rPr>
              <w:t>起点〖</w:t>
            </w:r>
            <w:r>
              <w:rPr>
                <w:rFonts w:hint="eastAsia" w:ascii="宋体" w:hAnsi="宋体" w:cs="宋体"/>
                <w:bCs w:val="0"/>
                <w:color w:val="000000"/>
                <w:szCs w:val="21"/>
                <w:highlight w:val="none"/>
                <w:lang w:val="en-US" w:eastAsia="zh-CN"/>
              </w:rPr>
              <w:t>1</w:t>
            </w:r>
            <w:r>
              <w:rPr>
                <w:rFonts w:hint="eastAsia" w:ascii="宋体" w:hAnsi="宋体" w:cs="宋体"/>
                <w:bCs w:val="0"/>
                <w:color w:val="000000"/>
                <w:szCs w:val="21"/>
                <w:highlight w:val="none"/>
              </w:rPr>
              <w:t>〗元整，超过认购/申购起点部分，应为〖</w:t>
            </w:r>
            <w:r>
              <w:rPr>
                <w:rFonts w:hint="eastAsia" w:ascii="宋体" w:hAnsi="宋体" w:cs="宋体"/>
                <w:bCs w:val="0"/>
                <w:color w:val="000000"/>
                <w:szCs w:val="21"/>
                <w:highlight w:val="none"/>
                <w:lang w:val="en-US" w:eastAsia="zh-CN"/>
              </w:rPr>
              <w:t>1</w:t>
            </w:r>
            <w:r>
              <w:rPr>
                <w:rFonts w:hint="eastAsia" w:ascii="宋体" w:hAnsi="宋体" w:cs="宋体"/>
                <w:bCs w:val="0"/>
                <w:color w:val="000000"/>
                <w:szCs w:val="21"/>
                <w:highlight w:val="none"/>
              </w:rPr>
              <w:t>〗元的整数倍</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B</w:t>
            </w:r>
            <w:r>
              <w:rPr>
                <w:rFonts w:hint="eastAsia" w:ascii="宋体" w:hAnsi="宋体" w:cs="宋体"/>
                <w:bCs w:val="0"/>
                <w:color w:val="000000"/>
                <w:sz w:val="21"/>
                <w:szCs w:val="21"/>
                <w:highlight w:val="none"/>
                <w:lang w:val="en-US" w:eastAsia="zh-CN"/>
              </w:rPr>
              <w:t>份额</w:t>
            </w:r>
            <w:r>
              <w:rPr>
                <w:rFonts w:hint="eastAsia" w:ascii="宋体" w:hAnsi="宋体" w:cs="宋体"/>
                <w:color w:val="000000"/>
                <w:sz w:val="21"/>
                <w:szCs w:val="21"/>
                <w:highlight w:val="none"/>
              </w:rPr>
              <w:t>〗</w:t>
            </w:r>
            <w:r>
              <w:rPr>
                <w:rFonts w:hint="eastAsia" w:ascii="宋体" w:hAnsi="宋体" w:cs="宋体"/>
                <w:bCs w:val="0"/>
                <w:color w:val="000000"/>
                <w:szCs w:val="21"/>
                <w:highlight w:val="none"/>
              </w:rPr>
              <w:t>起点〖</w:t>
            </w:r>
            <w:r>
              <w:rPr>
                <w:rFonts w:hint="eastAsia" w:ascii="宋体" w:hAnsi="宋体" w:cs="宋体"/>
                <w:bCs w:val="0"/>
                <w:color w:val="000000"/>
                <w:szCs w:val="21"/>
                <w:highlight w:val="none"/>
                <w:lang w:val="en-US" w:eastAsia="zh-CN"/>
              </w:rPr>
              <w:t>1</w:t>
            </w:r>
            <w:r>
              <w:rPr>
                <w:rFonts w:hint="eastAsia" w:ascii="宋体" w:hAnsi="宋体" w:cs="宋体"/>
                <w:bCs w:val="0"/>
                <w:color w:val="000000"/>
                <w:szCs w:val="21"/>
                <w:highlight w:val="none"/>
              </w:rPr>
              <w:t>〗元整，超过认购/申购起点部分，应为〖</w:t>
            </w:r>
            <w:r>
              <w:rPr>
                <w:rFonts w:hint="eastAsia" w:ascii="宋体" w:hAnsi="宋体" w:cs="宋体"/>
                <w:bCs w:val="0"/>
                <w:color w:val="000000"/>
                <w:szCs w:val="21"/>
                <w:highlight w:val="none"/>
                <w:lang w:val="en-US" w:eastAsia="zh-CN"/>
              </w:rPr>
              <w:t>1</w:t>
            </w:r>
            <w:r>
              <w:rPr>
                <w:rFonts w:hint="eastAsia" w:ascii="宋体" w:hAnsi="宋体" w:cs="宋体"/>
                <w:bCs w:val="0"/>
                <w:color w:val="000000"/>
                <w:szCs w:val="21"/>
                <w:highlight w:val="none"/>
              </w:rPr>
              <w:t>〗元的整数倍</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bCs w:val="0"/>
                <w:color w:val="000000"/>
                <w:szCs w:val="21"/>
                <w:highlight w:val="none"/>
                <w:lang w:eastAsia="zh-CN"/>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C</w:t>
            </w:r>
            <w:r>
              <w:rPr>
                <w:rFonts w:hint="eastAsia" w:ascii="宋体" w:hAnsi="宋体" w:cs="宋体"/>
                <w:bCs w:val="0"/>
                <w:color w:val="000000"/>
                <w:sz w:val="21"/>
                <w:szCs w:val="21"/>
                <w:highlight w:val="none"/>
                <w:lang w:val="en-US" w:eastAsia="zh-CN"/>
              </w:rPr>
              <w:t>份额</w:t>
            </w:r>
            <w:r>
              <w:rPr>
                <w:rFonts w:hint="eastAsia" w:ascii="宋体" w:hAnsi="宋体" w:cs="宋体"/>
                <w:color w:val="000000"/>
                <w:sz w:val="21"/>
                <w:szCs w:val="21"/>
                <w:highlight w:val="none"/>
              </w:rPr>
              <w:t>〗</w:t>
            </w:r>
            <w:r>
              <w:rPr>
                <w:rFonts w:hint="eastAsia" w:ascii="宋体" w:hAnsi="宋体" w:cs="宋体"/>
                <w:bCs w:val="0"/>
                <w:color w:val="000000"/>
                <w:szCs w:val="21"/>
                <w:highlight w:val="none"/>
              </w:rPr>
              <w:t>起点〖</w:t>
            </w:r>
            <w:r>
              <w:rPr>
                <w:rFonts w:hint="eastAsia" w:ascii="宋体" w:hAnsi="宋体" w:cs="宋体"/>
                <w:bCs w:val="0"/>
                <w:color w:val="000000"/>
                <w:szCs w:val="21"/>
                <w:highlight w:val="none"/>
                <w:lang w:val="en-US" w:eastAsia="zh-CN"/>
              </w:rPr>
              <w:t>1</w:t>
            </w:r>
            <w:r>
              <w:rPr>
                <w:rFonts w:hint="eastAsia" w:ascii="宋体" w:hAnsi="宋体" w:cs="宋体"/>
                <w:bCs w:val="0"/>
                <w:color w:val="000000"/>
                <w:szCs w:val="21"/>
                <w:highlight w:val="none"/>
              </w:rPr>
              <w:t>〗元整，超过认购/申购起点部分，应为〖</w:t>
            </w:r>
            <w:r>
              <w:rPr>
                <w:rFonts w:hint="eastAsia" w:ascii="宋体" w:hAnsi="宋体" w:cs="宋体"/>
                <w:bCs w:val="0"/>
                <w:color w:val="000000"/>
                <w:szCs w:val="21"/>
                <w:highlight w:val="none"/>
                <w:lang w:val="en-US" w:eastAsia="zh-CN"/>
              </w:rPr>
              <w:t>1</w:t>
            </w:r>
            <w:r>
              <w:rPr>
                <w:rFonts w:hint="eastAsia" w:ascii="宋体" w:hAnsi="宋体" w:cs="宋体"/>
                <w:bCs w:val="0"/>
                <w:color w:val="000000"/>
                <w:szCs w:val="21"/>
                <w:highlight w:val="none"/>
              </w:rPr>
              <w:t>〗元的整数倍</w:t>
            </w:r>
            <w:r>
              <w:rPr>
                <w:rFonts w:hint="eastAsia" w:ascii="宋体" w:hAnsi="宋体" w:cs="宋体"/>
                <w:bCs w:val="0"/>
                <w:color w:val="000000"/>
                <w:szCs w:val="21"/>
                <w:highlight w:val="none"/>
                <w:lang w:eastAsia="zh-CN"/>
              </w:rPr>
              <w:t>。</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D</w:t>
            </w:r>
            <w:r>
              <w:rPr>
                <w:rFonts w:hint="eastAsia" w:ascii="宋体" w:hAnsi="宋体" w:cs="宋体"/>
                <w:bCs w:val="0"/>
                <w:color w:val="000000"/>
                <w:sz w:val="21"/>
                <w:szCs w:val="21"/>
                <w:highlight w:val="none"/>
                <w:lang w:val="en-US" w:eastAsia="zh-CN"/>
              </w:rPr>
              <w:t>份额</w:t>
            </w:r>
            <w:r>
              <w:rPr>
                <w:rFonts w:hint="eastAsia" w:ascii="宋体" w:hAnsi="宋体" w:cs="宋体"/>
                <w:color w:val="000000"/>
                <w:sz w:val="21"/>
                <w:szCs w:val="21"/>
                <w:highlight w:val="none"/>
              </w:rPr>
              <w:t>〗</w:t>
            </w:r>
            <w:r>
              <w:rPr>
                <w:rFonts w:hint="eastAsia" w:ascii="宋体" w:hAnsi="宋体" w:cs="宋体"/>
                <w:bCs w:val="0"/>
                <w:color w:val="000000"/>
                <w:szCs w:val="21"/>
                <w:highlight w:val="none"/>
              </w:rPr>
              <w:t>起点〖</w:t>
            </w:r>
            <w:r>
              <w:rPr>
                <w:rFonts w:hint="eastAsia" w:ascii="宋体" w:hAnsi="宋体" w:cs="宋体"/>
                <w:bCs w:val="0"/>
                <w:color w:val="000000"/>
                <w:szCs w:val="21"/>
                <w:highlight w:val="none"/>
                <w:lang w:val="en-US" w:eastAsia="zh-CN"/>
              </w:rPr>
              <w:t>1</w:t>
            </w:r>
            <w:r>
              <w:rPr>
                <w:rFonts w:hint="eastAsia" w:ascii="宋体" w:hAnsi="宋体" w:cs="宋体"/>
                <w:bCs w:val="0"/>
                <w:color w:val="000000"/>
                <w:szCs w:val="21"/>
                <w:highlight w:val="none"/>
              </w:rPr>
              <w:t>〗元整，超过认购/申购起点部分，应为〖</w:t>
            </w:r>
            <w:r>
              <w:rPr>
                <w:rFonts w:hint="eastAsia" w:ascii="宋体" w:hAnsi="宋体" w:cs="宋体"/>
                <w:bCs w:val="0"/>
                <w:color w:val="000000"/>
                <w:szCs w:val="21"/>
                <w:highlight w:val="none"/>
                <w:lang w:val="en-US" w:eastAsia="zh-CN"/>
              </w:rPr>
              <w:t>1</w:t>
            </w:r>
            <w:r>
              <w:rPr>
                <w:rFonts w:hint="eastAsia" w:ascii="宋体" w:hAnsi="宋体" w:cs="宋体"/>
                <w:bCs w:val="0"/>
                <w:color w:val="000000"/>
                <w:szCs w:val="21"/>
                <w:highlight w:val="none"/>
              </w:rPr>
              <w:t>〗元的整数倍</w:t>
            </w:r>
            <w:r>
              <w:rPr>
                <w:rFonts w:hint="eastAsia" w:ascii="宋体" w:hAnsi="宋体" w:cs="宋体"/>
                <w:bCs w:val="0"/>
                <w:color w:val="000000"/>
                <w:szCs w:val="21"/>
                <w:highlight w:val="none"/>
                <w:lang w:eastAsia="zh-CN"/>
              </w:rPr>
              <w:t>。</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E</w:t>
            </w:r>
            <w:r>
              <w:rPr>
                <w:rFonts w:hint="eastAsia" w:ascii="宋体" w:hAnsi="宋体" w:cs="宋体"/>
                <w:bCs w:val="0"/>
                <w:color w:val="000000"/>
                <w:sz w:val="21"/>
                <w:szCs w:val="21"/>
                <w:highlight w:val="none"/>
                <w:lang w:val="en-US" w:eastAsia="zh-CN"/>
              </w:rPr>
              <w:t>份额</w:t>
            </w:r>
            <w:r>
              <w:rPr>
                <w:rFonts w:hint="eastAsia" w:ascii="宋体" w:hAnsi="宋体" w:cs="宋体"/>
                <w:color w:val="000000"/>
                <w:sz w:val="21"/>
                <w:szCs w:val="21"/>
                <w:highlight w:val="none"/>
              </w:rPr>
              <w:t>〗</w:t>
            </w:r>
            <w:r>
              <w:rPr>
                <w:rFonts w:hint="eastAsia" w:ascii="宋体" w:hAnsi="宋体" w:cs="宋体"/>
                <w:bCs w:val="0"/>
                <w:color w:val="000000"/>
                <w:szCs w:val="21"/>
                <w:highlight w:val="none"/>
              </w:rPr>
              <w:t>起点〖</w:t>
            </w:r>
            <w:r>
              <w:rPr>
                <w:rFonts w:hint="eastAsia" w:ascii="宋体" w:hAnsi="宋体" w:cs="宋体"/>
                <w:bCs w:val="0"/>
                <w:color w:val="000000"/>
                <w:szCs w:val="21"/>
                <w:highlight w:val="none"/>
                <w:lang w:val="en-US" w:eastAsia="zh-CN"/>
              </w:rPr>
              <w:t>1</w:t>
            </w:r>
            <w:r>
              <w:rPr>
                <w:rFonts w:hint="eastAsia" w:ascii="宋体" w:hAnsi="宋体" w:cs="宋体"/>
                <w:bCs w:val="0"/>
                <w:color w:val="000000"/>
                <w:szCs w:val="21"/>
                <w:highlight w:val="none"/>
              </w:rPr>
              <w:t>〗元整，超过认购/申购起点部分，应为〖</w:t>
            </w:r>
            <w:r>
              <w:rPr>
                <w:rFonts w:hint="eastAsia" w:ascii="宋体" w:hAnsi="宋体" w:cs="宋体"/>
                <w:bCs w:val="0"/>
                <w:color w:val="000000"/>
                <w:szCs w:val="21"/>
                <w:highlight w:val="none"/>
                <w:lang w:val="en-US" w:eastAsia="zh-CN"/>
              </w:rPr>
              <w:t>1</w:t>
            </w:r>
            <w:r>
              <w:rPr>
                <w:rFonts w:hint="eastAsia" w:ascii="宋体" w:hAnsi="宋体" w:cs="宋体"/>
                <w:bCs w:val="0"/>
                <w:color w:val="000000"/>
                <w:szCs w:val="21"/>
                <w:highlight w:val="none"/>
              </w:rPr>
              <w:t>〗元的整数倍</w:t>
            </w:r>
            <w:r>
              <w:rPr>
                <w:rFonts w:hint="eastAsia" w:ascii="宋体" w:hAnsi="宋体" w:cs="宋体"/>
                <w:bCs w:val="0"/>
                <w:color w:val="000000"/>
                <w:szCs w:val="21"/>
                <w:highlight w:val="none"/>
                <w:lang w:eastAsia="zh-CN"/>
              </w:rPr>
              <w:t>。</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F</w:t>
            </w:r>
            <w:r>
              <w:rPr>
                <w:rFonts w:hint="eastAsia" w:ascii="宋体" w:hAnsi="宋体" w:cs="宋体"/>
                <w:bCs w:val="0"/>
                <w:color w:val="000000"/>
                <w:sz w:val="21"/>
                <w:szCs w:val="21"/>
                <w:highlight w:val="none"/>
                <w:lang w:val="en-US" w:eastAsia="zh-CN"/>
              </w:rPr>
              <w:t>份额</w:t>
            </w:r>
            <w:r>
              <w:rPr>
                <w:rFonts w:hint="eastAsia" w:ascii="宋体" w:hAnsi="宋体" w:cs="宋体"/>
                <w:color w:val="000000"/>
                <w:sz w:val="21"/>
                <w:szCs w:val="21"/>
                <w:highlight w:val="none"/>
              </w:rPr>
              <w:t>〗</w:t>
            </w:r>
            <w:r>
              <w:rPr>
                <w:rFonts w:hint="eastAsia" w:ascii="宋体" w:hAnsi="宋体" w:cs="宋体"/>
                <w:bCs w:val="0"/>
                <w:color w:val="000000"/>
                <w:szCs w:val="21"/>
                <w:highlight w:val="none"/>
              </w:rPr>
              <w:t>起点〖</w:t>
            </w:r>
            <w:r>
              <w:rPr>
                <w:rFonts w:hint="eastAsia" w:ascii="宋体" w:hAnsi="宋体" w:cs="宋体"/>
                <w:bCs w:val="0"/>
                <w:color w:val="000000"/>
                <w:szCs w:val="21"/>
                <w:highlight w:val="none"/>
                <w:lang w:val="en-US" w:eastAsia="zh-CN"/>
              </w:rPr>
              <w:t>1</w:t>
            </w:r>
            <w:r>
              <w:rPr>
                <w:rFonts w:hint="eastAsia" w:ascii="宋体" w:hAnsi="宋体" w:cs="宋体"/>
                <w:bCs w:val="0"/>
                <w:color w:val="000000"/>
                <w:szCs w:val="21"/>
                <w:highlight w:val="none"/>
              </w:rPr>
              <w:t>〗元整，超过认购/申购起点部分，应为〖</w:t>
            </w:r>
            <w:r>
              <w:rPr>
                <w:rFonts w:hint="eastAsia" w:ascii="宋体" w:hAnsi="宋体" w:cs="宋体"/>
                <w:bCs w:val="0"/>
                <w:color w:val="000000"/>
                <w:szCs w:val="21"/>
                <w:highlight w:val="none"/>
                <w:lang w:val="en-US" w:eastAsia="zh-CN"/>
              </w:rPr>
              <w:t>1</w:t>
            </w:r>
            <w:r>
              <w:rPr>
                <w:rFonts w:hint="eastAsia" w:ascii="宋体" w:hAnsi="宋体" w:cs="宋体"/>
                <w:bCs w:val="0"/>
                <w:color w:val="000000"/>
                <w:szCs w:val="21"/>
                <w:highlight w:val="none"/>
              </w:rPr>
              <w:t>〗元的整数倍</w:t>
            </w:r>
            <w:r>
              <w:rPr>
                <w:rFonts w:hint="eastAsia" w:ascii="宋体" w:hAnsi="宋体" w:cs="宋体"/>
                <w:bCs w:val="0"/>
                <w:color w:val="000000"/>
                <w:szCs w:val="21"/>
                <w:highlight w:val="none"/>
                <w:lang w:eastAsia="zh-CN"/>
              </w:rPr>
              <w:t>。</w:t>
            </w:r>
          </w:p>
          <w:p>
            <w:pPr>
              <w:widowControl/>
              <w:spacing w:line="360" w:lineRule="auto"/>
              <w:contextualSpacing/>
              <w:rPr>
                <w:rFonts w:hint="eastAsia" w:ascii="宋体" w:hAnsi="宋体" w:cs="宋体"/>
                <w:bCs w:val="0"/>
                <w:color w:val="000000"/>
                <w:szCs w:val="21"/>
                <w:highlight w:val="none"/>
                <w:lang w:eastAsia="zh-CN"/>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G</w:t>
            </w:r>
            <w:r>
              <w:rPr>
                <w:rFonts w:hint="eastAsia" w:ascii="宋体" w:hAnsi="宋体" w:cs="宋体"/>
                <w:bCs w:val="0"/>
                <w:color w:val="000000"/>
                <w:sz w:val="21"/>
                <w:szCs w:val="21"/>
                <w:highlight w:val="none"/>
                <w:lang w:val="en-US" w:eastAsia="zh-CN"/>
              </w:rPr>
              <w:t>份额</w:t>
            </w:r>
            <w:r>
              <w:rPr>
                <w:rFonts w:hint="eastAsia" w:ascii="宋体" w:hAnsi="宋体" w:cs="宋体"/>
                <w:color w:val="000000"/>
                <w:sz w:val="21"/>
                <w:szCs w:val="21"/>
                <w:highlight w:val="none"/>
              </w:rPr>
              <w:t>〗</w:t>
            </w:r>
            <w:r>
              <w:rPr>
                <w:rFonts w:hint="eastAsia" w:ascii="宋体" w:hAnsi="宋体" w:cs="宋体"/>
                <w:bCs w:val="0"/>
                <w:color w:val="000000"/>
                <w:szCs w:val="21"/>
                <w:highlight w:val="none"/>
              </w:rPr>
              <w:t>起点〖</w:t>
            </w:r>
            <w:r>
              <w:rPr>
                <w:rFonts w:hint="eastAsia" w:ascii="宋体" w:hAnsi="宋体" w:cs="宋体"/>
                <w:bCs w:val="0"/>
                <w:color w:val="000000"/>
                <w:szCs w:val="21"/>
                <w:highlight w:val="none"/>
                <w:lang w:val="en-US" w:eastAsia="zh-CN"/>
              </w:rPr>
              <w:t>300</w:t>
            </w:r>
            <w:r>
              <w:rPr>
                <w:rFonts w:hint="eastAsia" w:ascii="宋体" w:hAnsi="宋体" w:cs="宋体"/>
                <w:bCs w:val="0"/>
                <w:color w:val="000000"/>
                <w:szCs w:val="21"/>
                <w:highlight w:val="none"/>
              </w:rPr>
              <w:t>〗</w:t>
            </w:r>
            <w:r>
              <w:rPr>
                <w:rFonts w:hint="eastAsia" w:ascii="宋体" w:hAnsi="宋体" w:cs="宋体"/>
                <w:bCs w:val="0"/>
                <w:color w:val="000000"/>
                <w:szCs w:val="21"/>
                <w:highlight w:val="none"/>
                <w:lang w:val="en-US" w:eastAsia="zh-CN"/>
              </w:rPr>
              <w:t>万</w:t>
            </w:r>
            <w:r>
              <w:rPr>
                <w:rFonts w:hint="eastAsia" w:ascii="宋体" w:hAnsi="宋体" w:cs="宋体"/>
                <w:bCs w:val="0"/>
                <w:color w:val="000000"/>
                <w:szCs w:val="21"/>
                <w:highlight w:val="none"/>
              </w:rPr>
              <w:t>元整，超过认购/申购起点部分，应为〖</w:t>
            </w:r>
            <w:r>
              <w:rPr>
                <w:rFonts w:hint="eastAsia" w:ascii="宋体" w:hAnsi="宋体" w:cs="宋体"/>
                <w:bCs w:val="0"/>
                <w:color w:val="000000"/>
                <w:szCs w:val="21"/>
                <w:highlight w:val="none"/>
                <w:lang w:val="en-US" w:eastAsia="zh-CN"/>
              </w:rPr>
              <w:t>1</w:t>
            </w:r>
            <w:r>
              <w:rPr>
                <w:rFonts w:hint="eastAsia" w:ascii="宋体" w:hAnsi="宋体" w:cs="宋体"/>
                <w:bCs w:val="0"/>
                <w:color w:val="000000"/>
                <w:szCs w:val="21"/>
                <w:highlight w:val="none"/>
              </w:rPr>
              <w:t>〗元的整数倍</w:t>
            </w:r>
            <w:r>
              <w:rPr>
                <w:rFonts w:hint="eastAsia" w:ascii="宋体" w:hAnsi="宋体" w:cs="宋体"/>
                <w:bCs w:val="0"/>
                <w:color w:val="000000"/>
                <w:szCs w:val="21"/>
                <w:highlight w:val="none"/>
                <w:lang w:eastAsia="zh-CN"/>
              </w:rPr>
              <w:t>。</w:t>
            </w:r>
          </w:p>
          <w:p>
            <w:pPr>
              <w:widowControl/>
              <w:spacing w:line="360" w:lineRule="auto"/>
              <w:contextualSpacing/>
              <w:rPr>
                <w:rFonts w:hint="eastAsia" w:ascii="宋体" w:hAnsi="宋体" w:cs="宋体"/>
                <w:bCs w:val="0"/>
                <w:color w:val="000000"/>
                <w:szCs w:val="21"/>
                <w:highlight w:val="none"/>
                <w:lang w:eastAsia="zh-CN"/>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H</w:t>
            </w:r>
            <w:r>
              <w:rPr>
                <w:rFonts w:hint="eastAsia" w:ascii="宋体" w:hAnsi="宋体" w:cs="宋体"/>
                <w:bCs w:val="0"/>
                <w:color w:val="000000"/>
                <w:sz w:val="21"/>
                <w:szCs w:val="21"/>
                <w:highlight w:val="none"/>
                <w:lang w:val="en-US" w:eastAsia="zh-CN"/>
              </w:rPr>
              <w:t>份额</w:t>
            </w:r>
            <w:r>
              <w:rPr>
                <w:rFonts w:hint="eastAsia" w:ascii="宋体" w:hAnsi="宋体" w:cs="宋体"/>
                <w:color w:val="000000"/>
                <w:sz w:val="21"/>
                <w:szCs w:val="21"/>
                <w:highlight w:val="none"/>
              </w:rPr>
              <w:t>〗</w:t>
            </w:r>
            <w:r>
              <w:rPr>
                <w:rFonts w:hint="eastAsia" w:ascii="宋体" w:hAnsi="宋体" w:cs="宋体"/>
                <w:bCs w:val="0"/>
                <w:color w:val="000000"/>
                <w:szCs w:val="21"/>
                <w:highlight w:val="none"/>
              </w:rPr>
              <w:t>起点〖</w:t>
            </w:r>
            <w:r>
              <w:rPr>
                <w:rFonts w:hint="eastAsia" w:ascii="宋体" w:hAnsi="宋体" w:cs="宋体"/>
                <w:bCs w:val="0"/>
                <w:color w:val="000000"/>
                <w:szCs w:val="21"/>
                <w:highlight w:val="none"/>
                <w:lang w:val="en-US" w:eastAsia="zh-CN"/>
              </w:rPr>
              <w:t>1</w:t>
            </w:r>
            <w:r>
              <w:rPr>
                <w:rFonts w:hint="eastAsia" w:ascii="宋体" w:hAnsi="宋体" w:cs="宋体"/>
                <w:bCs w:val="0"/>
                <w:color w:val="000000"/>
                <w:szCs w:val="21"/>
                <w:highlight w:val="none"/>
              </w:rPr>
              <w:t>〗元整，超过认购/申购起点部分，应为〖</w:t>
            </w:r>
            <w:r>
              <w:rPr>
                <w:rFonts w:hint="eastAsia" w:ascii="宋体" w:hAnsi="宋体" w:cs="宋体"/>
                <w:bCs w:val="0"/>
                <w:color w:val="000000"/>
                <w:szCs w:val="21"/>
                <w:highlight w:val="none"/>
                <w:lang w:val="en-US" w:eastAsia="zh-CN"/>
              </w:rPr>
              <w:t>1</w:t>
            </w:r>
            <w:r>
              <w:rPr>
                <w:rFonts w:hint="eastAsia" w:ascii="宋体" w:hAnsi="宋体" w:cs="宋体"/>
                <w:bCs w:val="0"/>
                <w:color w:val="000000"/>
                <w:szCs w:val="21"/>
                <w:highlight w:val="none"/>
              </w:rPr>
              <w:t>〗元的整数倍</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bCs w:val="0"/>
                <w:color w:val="000000"/>
                <w:szCs w:val="21"/>
                <w:highlight w:val="none"/>
                <w:lang w:eastAsia="zh-CN"/>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Y</w:t>
            </w:r>
            <w:r>
              <w:rPr>
                <w:rFonts w:hint="eastAsia" w:ascii="宋体" w:hAnsi="宋体" w:cs="宋体"/>
                <w:bCs w:val="0"/>
                <w:color w:val="000000"/>
                <w:sz w:val="21"/>
                <w:szCs w:val="21"/>
                <w:highlight w:val="none"/>
                <w:lang w:val="en-US" w:eastAsia="zh-CN"/>
              </w:rPr>
              <w:t>份额</w:t>
            </w:r>
            <w:r>
              <w:rPr>
                <w:rFonts w:hint="eastAsia" w:ascii="宋体" w:hAnsi="宋体" w:cs="宋体"/>
                <w:color w:val="000000"/>
                <w:sz w:val="21"/>
                <w:szCs w:val="21"/>
                <w:highlight w:val="none"/>
              </w:rPr>
              <w:t>〗</w:t>
            </w:r>
            <w:r>
              <w:rPr>
                <w:rFonts w:hint="eastAsia" w:ascii="宋体" w:hAnsi="宋体" w:cs="宋体"/>
                <w:bCs w:val="0"/>
                <w:color w:val="000000"/>
                <w:szCs w:val="21"/>
                <w:highlight w:val="none"/>
              </w:rPr>
              <w:t>起点〖</w:t>
            </w:r>
            <w:r>
              <w:rPr>
                <w:rFonts w:hint="eastAsia" w:ascii="宋体" w:hAnsi="宋体" w:cs="宋体"/>
                <w:bCs w:val="0"/>
                <w:color w:val="000000"/>
                <w:szCs w:val="21"/>
                <w:highlight w:val="none"/>
                <w:lang w:val="en-US" w:eastAsia="zh-CN"/>
              </w:rPr>
              <w:t>1</w:t>
            </w:r>
            <w:r>
              <w:rPr>
                <w:rFonts w:hint="eastAsia" w:ascii="宋体" w:hAnsi="宋体" w:cs="宋体"/>
                <w:bCs w:val="0"/>
                <w:color w:val="000000"/>
                <w:szCs w:val="21"/>
                <w:highlight w:val="none"/>
              </w:rPr>
              <w:t>〗元整，超过认购/申购起点部分，应为〖</w:t>
            </w:r>
            <w:r>
              <w:rPr>
                <w:rFonts w:hint="eastAsia" w:ascii="宋体" w:hAnsi="宋体" w:cs="宋体"/>
                <w:bCs w:val="0"/>
                <w:color w:val="000000"/>
                <w:szCs w:val="21"/>
                <w:highlight w:val="none"/>
                <w:lang w:val="en-US" w:eastAsia="zh-CN"/>
              </w:rPr>
              <w:t>1</w:t>
            </w:r>
            <w:r>
              <w:rPr>
                <w:rFonts w:hint="eastAsia" w:ascii="宋体" w:hAnsi="宋体" w:cs="宋体"/>
                <w:bCs w:val="0"/>
                <w:color w:val="000000"/>
                <w:szCs w:val="21"/>
                <w:highlight w:val="none"/>
              </w:rPr>
              <w:t>〗元的整数倍</w:t>
            </w:r>
            <w:r>
              <w:rPr>
                <w:rFonts w:hint="eastAsia" w:ascii="宋体" w:hAnsi="宋体" w:cs="宋体"/>
                <w:bCs w:val="0"/>
                <w:color w:val="000000"/>
                <w:szCs w:val="21"/>
                <w:highlight w:val="none"/>
                <w:lang w:eastAsia="zh-CN"/>
              </w:rPr>
              <w:t>。</w:t>
            </w:r>
          </w:p>
          <w:p>
            <w:pPr>
              <w:widowControl/>
              <w:spacing w:line="360" w:lineRule="auto"/>
              <w:contextualSpacing/>
              <w:rPr>
                <w:rFonts w:ascii="宋体" w:hAnsi="宋体" w:cs="宋体"/>
                <w:color w:val="000000"/>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Z</w:t>
            </w:r>
            <w:r>
              <w:rPr>
                <w:rFonts w:hint="eastAsia" w:ascii="宋体" w:hAnsi="宋体" w:cs="宋体"/>
                <w:bCs w:val="0"/>
                <w:color w:val="000000"/>
                <w:sz w:val="21"/>
                <w:szCs w:val="21"/>
                <w:highlight w:val="none"/>
                <w:lang w:val="en-US" w:eastAsia="zh-CN"/>
              </w:rPr>
              <w:t>份额</w:t>
            </w:r>
            <w:r>
              <w:rPr>
                <w:rFonts w:hint="eastAsia" w:ascii="宋体" w:hAnsi="宋体" w:cs="宋体"/>
                <w:color w:val="000000"/>
                <w:sz w:val="21"/>
                <w:szCs w:val="21"/>
                <w:highlight w:val="none"/>
              </w:rPr>
              <w:t>〗</w:t>
            </w:r>
            <w:r>
              <w:rPr>
                <w:rFonts w:hint="eastAsia" w:ascii="宋体" w:hAnsi="宋体" w:cs="宋体"/>
                <w:bCs w:val="0"/>
                <w:color w:val="000000"/>
                <w:szCs w:val="21"/>
                <w:highlight w:val="none"/>
              </w:rPr>
              <w:t>起点〖</w:t>
            </w:r>
            <w:r>
              <w:rPr>
                <w:rFonts w:hint="eastAsia" w:ascii="宋体" w:hAnsi="宋体" w:cs="宋体"/>
                <w:bCs w:val="0"/>
                <w:color w:val="000000"/>
                <w:szCs w:val="21"/>
                <w:highlight w:val="none"/>
                <w:lang w:val="en-US" w:eastAsia="zh-CN"/>
              </w:rPr>
              <w:t>50</w:t>
            </w:r>
            <w:r>
              <w:rPr>
                <w:rFonts w:hint="eastAsia" w:ascii="宋体" w:hAnsi="宋体" w:cs="宋体"/>
                <w:bCs w:val="0"/>
                <w:color w:val="000000"/>
                <w:szCs w:val="21"/>
                <w:highlight w:val="none"/>
              </w:rPr>
              <w:t>〗</w:t>
            </w:r>
            <w:r>
              <w:rPr>
                <w:rFonts w:hint="eastAsia" w:ascii="宋体" w:hAnsi="宋体" w:cs="宋体"/>
                <w:bCs w:val="0"/>
                <w:color w:val="000000"/>
                <w:szCs w:val="21"/>
                <w:highlight w:val="none"/>
                <w:lang w:val="en-US" w:eastAsia="zh-CN"/>
              </w:rPr>
              <w:t>万</w:t>
            </w:r>
            <w:r>
              <w:rPr>
                <w:rFonts w:hint="eastAsia" w:ascii="宋体" w:hAnsi="宋体" w:cs="宋体"/>
                <w:bCs w:val="0"/>
                <w:color w:val="000000"/>
                <w:szCs w:val="21"/>
                <w:highlight w:val="none"/>
              </w:rPr>
              <w:t>元整，超过认购/申购起点部分，应为〖</w:t>
            </w:r>
            <w:r>
              <w:rPr>
                <w:rFonts w:hint="eastAsia" w:ascii="宋体" w:hAnsi="宋体" w:cs="宋体"/>
                <w:bCs w:val="0"/>
                <w:color w:val="000000"/>
                <w:szCs w:val="21"/>
                <w:highlight w:val="none"/>
                <w:lang w:val="en-US" w:eastAsia="zh-CN"/>
              </w:rPr>
              <w:t>1</w:t>
            </w:r>
            <w:r>
              <w:rPr>
                <w:rFonts w:hint="eastAsia" w:ascii="宋体" w:hAnsi="宋体" w:cs="宋体"/>
                <w:bCs w:val="0"/>
                <w:color w:val="000000"/>
                <w:szCs w:val="21"/>
                <w:highlight w:val="none"/>
              </w:rPr>
              <w:t>〗元的整数倍</w:t>
            </w:r>
            <w:r>
              <w:rPr>
                <w:rFonts w:hint="eastAsia" w:ascii="宋体" w:hAnsi="宋体" w:cs="宋体"/>
                <w:bCs w:val="0"/>
                <w:color w:val="000000"/>
                <w:szCs w:val="21"/>
                <w:highlight w:val="none"/>
                <w:lang w:eastAsia="zh-CN"/>
              </w:rPr>
              <w:t>。</w:t>
            </w:r>
            <w:r>
              <w:rPr>
                <w:rFonts w:hint="eastAsia" w:ascii="宋体" w:hAnsi="宋体" w:cs="宋体"/>
                <w:bCs w:val="0"/>
                <w:color w:val="000000"/>
                <w:szCs w:val="21"/>
                <w:highlight w:val="none"/>
                <w:lang w:eastAsia="zh-CN"/>
              </w:rPr>
              <w:br w:type="textWrapping"/>
            </w:r>
            <w:r>
              <w:rPr>
                <w:rFonts w:hint="eastAsia" w:ascii="宋体" w:hAnsi="宋体" w:cs="宋体"/>
                <w:color w:val="000000"/>
                <w:sz w:val="21"/>
                <w:szCs w:val="21"/>
                <w:highlight w:val="none"/>
                <w:lang w:eastAsia="zh-CN"/>
              </w:rPr>
              <w:t>（</w:t>
            </w:r>
            <w:r>
              <w:rPr>
                <w:rFonts w:hint="eastAsia" w:ascii="宋体" w:hAnsi="宋体" w:cs="宋体"/>
                <w:bCs w:val="0"/>
                <w:color w:val="000000"/>
                <w:szCs w:val="21"/>
                <w:highlight w:val="none"/>
              </w:rPr>
              <w:t>具体以销售机构规定为准</w:t>
            </w:r>
            <w:r>
              <w:rPr>
                <w:rFonts w:hint="eastAsia" w:ascii="宋体" w:hAnsi="宋体" w:cs="宋体"/>
                <w:color w:val="00000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认购份额</w:t>
            </w:r>
          </w:p>
        </w:tc>
        <w:tc>
          <w:tcPr>
            <w:tcW w:w="7281" w:type="dxa"/>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产品成立</w:t>
            </w:r>
          </w:p>
        </w:tc>
        <w:tc>
          <w:tcPr>
            <w:tcW w:w="7281" w:type="dxa"/>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szCs w:val="21"/>
                <w:highlight w:val="none"/>
              </w:rPr>
              <w:t>〖</w:t>
            </w:r>
            <w:r>
              <w:rPr>
                <w:rFonts w:hint="eastAsia" w:ascii="宋体" w:hAnsi="宋体" w:cs="宋体"/>
                <w:szCs w:val="21"/>
                <w:highlight w:val="none"/>
                <w:lang w:val="en-US" w:eastAsia="zh-CN"/>
              </w:rPr>
              <w:t>2000</w:t>
            </w:r>
            <w:r>
              <w:rPr>
                <w:rFonts w:hint="eastAsia" w:ascii="宋体" w:hAnsi="宋体" w:cs="宋体"/>
                <w:szCs w:val="21"/>
                <w:highlight w:val="none"/>
              </w:rPr>
              <w:t>〗</w:t>
            </w:r>
            <w:r>
              <w:rPr>
                <w:rFonts w:hint="eastAsia" w:ascii="宋体" w:hAnsi="宋体" w:cs="宋体"/>
                <w:color w:val="000000"/>
                <w:szCs w:val="21"/>
                <w:highlight w:val="none"/>
              </w:rPr>
              <w:t>万元，则管理人可宣布本理财计划不成立并在原定理财计划成立日后</w:t>
            </w:r>
            <w:r>
              <w:rPr>
                <w:rFonts w:hint="eastAsia" w:ascii="宋体" w:hAnsi="宋体" w:cs="宋体"/>
                <w:szCs w:val="21"/>
                <w:highlight w:val="none"/>
              </w:rPr>
              <w:t>〖</w:t>
            </w:r>
            <w:r>
              <w:rPr>
                <w:rFonts w:hint="eastAsia" w:ascii="宋体" w:hAnsi="宋体" w:cs="宋体"/>
                <w:color w:val="000000"/>
                <w:szCs w:val="21"/>
                <w:highlight w:val="none"/>
              </w:rPr>
              <w:t>2</w:t>
            </w:r>
            <w:r>
              <w:rPr>
                <w:rFonts w:hint="eastAsia" w:ascii="宋体" w:hAnsi="宋体" w:cs="宋体"/>
                <w:szCs w:val="21"/>
                <w:highlight w:val="none"/>
              </w:rPr>
              <w:t>〗</w:t>
            </w:r>
            <w:r>
              <w:rPr>
                <w:rFonts w:hint="eastAsia" w:ascii="宋体" w:hAnsi="宋体" w:cs="宋体"/>
                <w:color w:val="000000"/>
                <w:szCs w:val="21"/>
                <w:highlight w:val="none"/>
              </w:rPr>
              <w:t>个工作日内通过管理人或销售机构发布不成立信息，投资者购买的理财资金将在原定成立日后2个工作日内划转至投资者指定理财账户，</w:t>
            </w:r>
            <w:r>
              <w:rPr>
                <w:rFonts w:hint="eastAsia" w:ascii="宋体" w:hAnsi="宋体" w:cs="宋体"/>
                <w:b/>
                <w:color w:val="000000"/>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hint="eastAsia" w:ascii="宋体" w:hAnsi="宋体" w:cs="宋体"/>
                <w:color w:val="000000"/>
                <w:szCs w:val="21"/>
                <w:highlight w:val="none"/>
              </w:rPr>
            </w:pPr>
            <w:r>
              <w:rPr>
                <w:rFonts w:hint="eastAsia" w:ascii="宋体" w:hAnsi="宋体" w:cs="宋体"/>
                <w:color w:val="000000"/>
                <w:szCs w:val="21"/>
                <w:highlight w:val="none"/>
              </w:rPr>
              <w:t>封闭期</w:t>
            </w:r>
          </w:p>
        </w:tc>
        <w:tc>
          <w:tcPr>
            <w:tcW w:w="7281" w:type="dxa"/>
            <w:vAlign w:val="center"/>
          </w:tcPr>
          <w:p>
            <w:pPr>
              <w:widowControl/>
              <w:spacing w:line="360" w:lineRule="auto"/>
              <w:contextualSpacing/>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开放期</w:t>
            </w:r>
          </w:p>
        </w:tc>
        <w:tc>
          <w:tcPr>
            <w:tcW w:w="7281" w:type="dxa"/>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本理财计划开放期为</w:t>
            </w:r>
            <w:r>
              <w:rPr>
                <w:rFonts w:hint="eastAsia" w:ascii="宋体" w:hAnsi="宋体" w:cs="宋体"/>
                <w:szCs w:val="21"/>
                <w:highlight w:val="none"/>
              </w:rPr>
              <w:t>〖</w:t>
            </w:r>
            <w:r>
              <w:rPr>
                <w:rFonts w:hint="eastAsia" w:ascii="宋体" w:hAnsi="宋体" w:cs="宋体"/>
                <w:szCs w:val="21"/>
                <w:highlight w:val="none"/>
                <w:lang w:val="en-US" w:eastAsia="zh-CN"/>
              </w:rPr>
              <w:t>产品成立后的</w:t>
            </w:r>
            <w:r>
              <w:rPr>
                <w:rFonts w:hint="eastAsia" w:ascii="宋体" w:hAnsi="宋体" w:cs="宋体"/>
                <w:szCs w:val="21"/>
                <w:highlight w:val="none"/>
              </w:rPr>
              <w:t>每个交易日〗</w:t>
            </w:r>
            <w:r>
              <w:rPr>
                <w:rFonts w:hint="eastAsia" w:ascii="宋体" w:hAnsi="宋体" w:cs="宋体"/>
                <w:color w:val="000000"/>
                <w:kern w:val="0"/>
                <w:highlight w:val="none"/>
              </w:rPr>
              <w:t>。如遇特殊情况具体</w:t>
            </w:r>
            <w:r>
              <w:rPr>
                <w:rFonts w:hint="eastAsia" w:ascii="宋体" w:hAnsi="宋体" w:cs="宋体"/>
                <w:szCs w:val="21"/>
                <w:highlight w:val="none"/>
              </w:rPr>
              <w:t>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交易时间</w:t>
            </w:r>
          </w:p>
        </w:tc>
        <w:tc>
          <w:tcPr>
            <w:tcW w:w="7281" w:type="dxa"/>
            <w:vAlign w:val="center"/>
          </w:tcPr>
          <w:p>
            <w:pPr>
              <w:widowControl/>
              <w:spacing w:line="360" w:lineRule="auto"/>
              <w:contextualSpacing/>
              <w:rPr>
                <w:rFonts w:hint="eastAsia" w:ascii="宋体" w:hAnsi="宋体" w:cs="宋体"/>
                <w:color w:val="000000"/>
                <w:szCs w:val="21"/>
                <w:highlight w:val="none"/>
              </w:rPr>
            </w:pPr>
            <w:r>
              <w:rPr>
                <w:rFonts w:hint="eastAsia" w:ascii="宋体" w:hAnsi="宋体" w:cs="宋体"/>
                <w:color w:val="000000"/>
                <w:szCs w:val="21"/>
                <w:highlight w:val="none"/>
              </w:rPr>
              <w:t>1.本理财计划在每个开放期的工作时间均可进行申购</w:t>
            </w:r>
            <w:r>
              <w:rPr>
                <w:rFonts w:hint="eastAsia" w:ascii="宋体" w:hAnsi="宋体" w:cs="宋体"/>
                <w:color w:val="000000"/>
                <w:szCs w:val="21"/>
                <w:highlight w:val="none"/>
                <w:lang w:val="en-US" w:eastAsia="zh-CN"/>
              </w:rPr>
              <w:t>、赎回和撤单申请</w:t>
            </w:r>
            <w:r>
              <w:rPr>
                <w:rFonts w:hint="eastAsia" w:ascii="宋体" w:hAnsi="宋体" w:cs="宋体"/>
                <w:color w:val="000000"/>
                <w:szCs w:val="21"/>
                <w:highlight w:val="none"/>
              </w:rPr>
              <w:t>，申购</w:t>
            </w:r>
            <w:r>
              <w:rPr>
                <w:rFonts w:hint="eastAsia" w:ascii="宋体" w:hAnsi="宋体" w:cs="宋体"/>
                <w:color w:val="000000"/>
                <w:szCs w:val="21"/>
                <w:highlight w:val="none"/>
                <w:lang w:val="en-US" w:eastAsia="zh-CN"/>
              </w:rPr>
              <w:t>和赎回</w:t>
            </w:r>
            <w:r>
              <w:rPr>
                <w:rFonts w:hint="eastAsia" w:ascii="宋体" w:hAnsi="宋体" w:cs="宋体"/>
                <w:color w:val="000000"/>
                <w:szCs w:val="21"/>
                <w:highlight w:val="none"/>
              </w:rPr>
              <w:t>申请将在确认日，即开放期后的第</w:t>
            </w:r>
            <w:r>
              <w:rPr>
                <w:rFonts w:hint="eastAsia" w:ascii="宋体" w:hAnsi="宋体" w:cs="宋体"/>
                <w:szCs w:val="21"/>
                <w:highlight w:val="none"/>
              </w:rPr>
              <w:t>〖1〗个交易</w:t>
            </w:r>
            <w:r>
              <w:rPr>
                <w:rFonts w:hint="eastAsia" w:ascii="宋体" w:hAnsi="宋体" w:cs="宋体"/>
                <w:bCs/>
                <w:szCs w:val="21"/>
                <w:highlight w:val="none"/>
              </w:rPr>
              <w:t>日进行确认。</w:t>
            </w:r>
          </w:p>
          <w:p>
            <w:pPr>
              <w:widowControl/>
              <w:spacing w:line="360" w:lineRule="auto"/>
              <w:contextualSpacing/>
              <w:rPr>
                <w:rFonts w:hint="eastAsia" w:ascii="宋体" w:hAnsi="宋体" w:cs="宋体"/>
                <w:color w:val="000000"/>
                <w:szCs w:val="21"/>
                <w:highlight w:val="none"/>
              </w:rPr>
            </w:pP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.工作时间为每个交易日上午〖9:00〗至下午〖</w:t>
            </w:r>
            <w:r>
              <w:rPr>
                <w:rFonts w:hint="eastAsia" w:ascii="宋体" w:hAnsi="宋体" w:cs="宋体"/>
                <w:color w:val="000000"/>
                <w:szCs w:val="21"/>
                <w:highlight w:val="none"/>
                <w:lang w:eastAsia="zh-CN"/>
              </w:rPr>
              <w:t>1</w:t>
            </w:r>
            <w:r>
              <w:rPr>
                <w:rFonts w:hint="eastAsia" w:ascii="宋体" w:hAnsi="宋体" w:cs="宋体"/>
                <w:color w:val="000000"/>
                <w:szCs w:val="21"/>
                <w:highlight w:val="none"/>
                <w:lang w:val="en-US" w:eastAsia="zh-CN"/>
              </w:rPr>
              <w:t>7</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00</w:t>
            </w:r>
            <w:r>
              <w:rPr>
                <w:rFonts w:hint="eastAsia" w:ascii="宋体" w:hAnsi="宋体" w:cs="宋体"/>
                <w:color w:val="000000"/>
                <w:szCs w:val="21"/>
                <w:highlight w:val="none"/>
              </w:rPr>
              <w:t>〗</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具体以销售机构销售要素为准</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w:t>
            </w:r>
          </w:p>
          <w:p>
            <w:pPr>
              <w:widowControl/>
              <w:spacing w:line="360" w:lineRule="auto"/>
              <w:contextualSpacing/>
              <w:rPr>
                <w:rFonts w:hint="eastAsia" w:ascii="宋体" w:hAnsi="宋体" w:cs="宋体"/>
                <w:color w:val="000000"/>
                <w:szCs w:val="21"/>
                <w:highlight w:val="none"/>
              </w:rPr>
            </w:pP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.在开放期</w:t>
            </w:r>
            <w:r>
              <w:rPr>
                <w:rFonts w:hint="eastAsia" w:ascii="宋体" w:hAnsi="宋体" w:cs="宋体"/>
                <w:color w:val="000000"/>
                <w:szCs w:val="21"/>
                <w:highlight w:val="none"/>
                <w:lang w:val="en-US" w:eastAsia="zh-CN"/>
              </w:rPr>
              <w:t>的</w:t>
            </w:r>
            <w:r>
              <w:rPr>
                <w:rFonts w:hint="eastAsia" w:ascii="宋体" w:hAnsi="宋体" w:cs="宋体"/>
                <w:color w:val="000000"/>
                <w:szCs w:val="21"/>
                <w:highlight w:val="none"/>
              </w:rPr>
              <w:t>工作时间内提交的申购/赎回申请，将作为当日申请处理；在开放期</w:t>
            </w:r>
            <w:r>
              <w:rPr>
                <w:rFonts w:hint="eastAsia" w:ascii="宋体" w:hAnsi="宋体" w:cs="宋体"/>
                <w:color w:val="000000"/>
                <w:szCs w:val="21"/>
                <w:highlight w:val="none"/>
                <w:lang w:val="en-US" w:eastAsia="zh-CN"/>
              </w:rPr>
              <w:t>的</w:t>
            </w:r>
            <w:r>
              <w:rPr>
                <w:rFonts w:hint="eastAsia" w:ascii="宋体" w:hAnsi="宋体" w:cs="宋体"/>
                <w:color w:val="000000"/>
                <w:szCs w:val="21"/>
                <w:highlight w:val="none"/>
              </w:rPr>
              <w:t>工作时间结束后及非开放期提交的申购/赎回申请，将作为下一开放期的申请处理。</w:t>
            </w:r>
          </w:p>
          <w:p>
            <w:pPr>
              <w:widowControl/>
              <w:spacing w:line="360" w:lineRule="auto"/>
              <w:contextualSpacing/>
              <w:rPr>
                <w:rFonts w:hint="eastAsia" w:ascii="宋体" w:hAnsi="宋体" w:cs="宋体"/>
                <w:color w:val="000000"/>
                <w:szCs w:val="21"/>
                <w:highlight w:val="none"/>
              </w:rPr>
            </w:pPr>
            <w:r>
              <w:rPr>
                <w:rFonts w:hint="eastAsia" w:ascii="宋体" w:hAnsi="宋体" w:cs="宋体"/>
                <w:bCs/>
                <w:color w:val="auto"/>
                <w:sz w:val="21"/>
                <w:szCs w:val="21"/>
                <w:highlight w:val="none"/>
                <w:lang w:val="en-US" w:eastAsia="zh-CN"/>
              </w:rPr>
              <w:t>4.上述交易安排如有调整，请以管理人公告为准。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hint="eastAsia" w:ascii="宋体" w:hAnsi="宋体" w:cs="宋体"/>
                <w:color w:val="000000"/>
                <w:szCs w:val="21"/>
                <w:highlight w:val="none"/>
              </w:rPr>
            </w:pPr>
            <w:r>
              <w:rPr>
                <w:rFonts w:hint="eastAsia" w:ascii="宋体" w:hAnsi="宋体" w:cs="宋体"/>
                <w:color w:val="000000"/>
                <w:szCs w:val="21"/>
                <w:highlight w:val="none"/>
              </w:rPr>
              <w:t>巨额赎回</w:t>
            </w:r>
          </w:p>
        </w:tc>
        <w:tc>
          <w:tcPr>
            <w:tcW w:w="7281" w:type="dxa"/>
            <w:vAlign w:val="center"/>
          </w:tcPr>
          <w:p>
            <w:pPr>
              <w:widowControl/>
              <w:spacing w:line="360" w:lineRule="auto"/>
              <w:contextualSpacing/>
              <w:rPr>
                <w:rFonts w:hint="eastAsia" w:ascii="宋体" w:hAnsi="宋体" w:cs="宋体"/>
                <w:szCs w:val="21"/>
                <w:highlight w:val="none"/>
              </w:rPr>
            </w:pPr>
            <w:r>
              <w:rPr>
                <w:rFonts w:hint="eastAsia" w:ascii="宋体" w:hAnsi="宋体" w:cs="宋体"/>
                <w:color w:val="000000"/>
                <w:szCs w:val="21"/>
                <w:highlight w:val="none"/>
              </w:rPr>
              <w:t>理财计划存续期内，若理财计划开放期净赎回申请份额超过上一日日终理财计划总份额</w:t>
            </w:r>
            <w:r>
              <w:rPr>
                <w:rFonts w:hint="eastAsia" w:ascii="宋体" w:hAnsi="宋体" w:cs="宋体"/>
                <w:szCs w:val="21"/>
                <w:highlight w:val="none"/>
              </w:rPr>
              <w:t>〖</w:t>
            </w:r>
            <w:r>
              <w:rPr>
                <w:rFonts w:hint="eastAsia" w:ascii="宋体" w:hAnsi="宋体" w:cs="宋体"/>
                <w:color w:val="000000"/>
                <w:szCs w:val="21"/>
                <w:highlight w:val="none"/>
              </w:rPr>
              <w:t>10%</w:t>
            </w:r>
            <w:r>
              <w:rPr>
                <w:rFonts w:hint="eastAsia" w:ascii="宋体" w:hAnsi="宋体" w:cs="宋体"/>
                <w:szCs w:val="21"/>
                <w:highlight w:val="none"/>
              </w:rPr>
              <w:t>〗</w:t>
            </w:r>
            <w:r>
              <w:rPr>
                <w:rFonts w:hint="eastAsia" w:ascii="宋体" w:hAnsi="宋体" w:cs="宋体"/>
                <w:color w:val="000000"/>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单户限额</w:t>
            </w:r>
          </w:p>
        </w:tc>
        <w:tc>
          <w:tcPr>
            <w:tcW w:w="7281" w:type="dxa"/>
            <w:vAlign w:val="center"/>
          </w:tcPr>
          <w:p>
            <w:pPr>
              <w:widowControl/>
              <w:spacing w:line="360" w:lineRule="auto"/>
              <w:contextualSpacing/>
              <w:rPr>
                <w:rFonts w:hint="eastAsia" w:ascii="宋体" w:hAnsi="宋体" w:cs="宋体"/>
                <w:szCs w:val="21"/>
                <w:highlight w:val="none"/>
                <w:lang w:val="en-US" w:eastAsia="zh-CN"/>
              </w:rPr>
            </w:pPr>
            <w:r>
              <w:rPr>
                <w:rFonts w:hint="eastAsia" w:ascii="宋体" w:hAnsi="宋体" w:cs="宋体"/>
                <w:szCs w:val="21"/>
                <w:highlight w:val="none"/>
                <w:lang w:val="en-US" w:eastAsia="zh-CN"/>
              </w:rPr>
              <w:t>G份额：</w:t>
            </w:r>
            <w:r>
              <w:rPr>
                <w:rFonts w:hint="eastAsia" w:ascii="宋体" w:hAnsi="宋体" w:cs="宋体"/>
                <w:szCs w:val="21"/>
                <w:highlight w:val="none"/>
              </w:rPr>
              <w:t>单户持有上限〖</w:t>
            </w:r>
            <w:r>
              <w:rPr>
                <w:rFonts w:hint="eastAsia" w:ascii="宋体" w:hAnsi="宋体" w:cs="宋体"/>
                <w:szCs w:val="21"/>
                <w:highlight w:val="none"/>
                <w:lang w:val="en-US" w:eastAsia="zh-CN"/>
              </w:rPr>
              <w:t>5亿</w:t>
            </w:r>
            <w:r>
              <w:rPr>
                <w:rFonts w:hint="eastAsia" w:ascii="宋体" w:hAnsi="宋体" w:cs="宋体"/>
                <w:szCs w:val="21"/>
                <w:highlight w:val="none"/>
              </w:rPr>
              <w:t>〗元</w:t>
            </w:r>
          </w:p>
          <w:p>
            <w:pPr>
              <w:widowControl/>
              <w:spacing w:line="360" w:lineRule="auto"/>
              <w:contextualSpacing/>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Y份额：</w:t>
            </w:r>
            <w:r>
              <w:rPr>
                <w:rFonts w:hint="eastAsia" w:ascii="宋体" w:hAnsi="宋体" w:cs="宋体"/>
                <w:szCs w:val="21"/>
                <w:highlight w:val="none"/>
              </w:rPr>
              <w:t>单户持有上限〖</w:t>
            </w:r>
            <w:r>
              <w:rPr>
                <w:rFonts w:hint="eastAsia" w:ascii="宋体" w:hAnsi="宋体" w:cs="宋体"/>
                <w:szCs w:val="21"/>
                <w:highlight w:val="none"/>
                <w:lang w:val="en-US" w:eastAsia="zh-CN"/>
              </w:rPr>
              <w:t>5亿</w:t>
            </w:r>
            <w:r>
              <w:rPr>
                <w:rFonts w:hint="eastAsia" w:ascii="宋体" w:hAnsi="宋体" w:cs="宋体"/>
                <w:szCs w:val="21"/>
                <w:highlight w:val="none"/>
              </w:rPr>
              <w:t>〗元</w:t>
            </w:r>
            <w:r>
              <w:rPr>
                <w:rFonts w:hint="eastAsia" w:ascii="宋体" w:hAnsi="宋体" w:cs="宋体"/>
                <w:szCs w:val="21"/>
                <w:highlight w:val="none"/>
                <w:lang w:eastAsia="zh-CN"/>
              </w:rPr>
              <w:t>、</w:t>
            </w:r>
            <w:r>
              <w:rPr>
                <w:rFonts w:hint="eastAsia" w:ascii="宋体" w:hAnsi="宋体" w:cs="宋体"/>
                <w:szCs w:val="21"/>
                <w:highlight w:val="none"/>
                <w:lang w:val="en-US" w:eastAsia="zh-CN"/>
              </w:rPr>
              <w:t>单日单户赎回上限</w:t>
            </w:r>
            <w:r>
              <w:rPr>
                <w:rFonts w:hint="eastAsia" w:ascii="宋体" w:hAnsi="宋体" w:cs="宋体"/>
                <w:szCs w:val="21"/>
                <w:highlight w:val="none"/>
              </w:rPr>
              <w:t>〖</w:t>
            </w:r>
            <w:r>
              <w:rPr>
                <w:rFonts w:hint="eastAsia" w:ascii="宋体" w:hAnsi="宋体" w:cs="宋体"/>
                <w:szCs w:val="21"/>
                <w:highlight w:val="none"/>
                <w:lang w:val="en-US" w:eastAsia="zh-CN"/>
              </w:rPr>
              <w:t>1亿</w:t>
            </w:r>
            <w:r>
              <w:rPr>
                <w:rFonts w:hint="eastAsia" w:ascii="宋体" w:hAnsi="宋体" w:cs="宋体"/>
                <w:szCs w:val="21"/>
                <w:highlight w:val="none"/>
              </w:rPr>
              <w:t>〗</w:t>
            </w:r>
            <w:r>
              <w:rPr>
                <w:rFonts w:hint="eastAsia" w:ascii="宋体" w:hAnsi="宋体" w:cs="宋体"/>
                <w:szCs w:val="21"/>
                <w:highlight w:val="none"/>
                <w:lang w:val="en-US" w:eastAsia="zh-CN"/>
              </w:rPr>
              <w:t>份</w:t>
            </w:r>
          </w:p>
          <w:p>
            <w:pPr>
              <w:widowControl/>
              <w:spacing w:line="360" w:lineRule="auto"/>
              <w:contextualSpacing/>
              <w:rPr>
                <w:rFonts w:ascii="宋体" w:hAnsi="宋体" w:cs="宋体"/>
                <w:color w:val="000000"/>
                <w:szCs w:val="21"/>
                <w:highlight w:val="none"/>
              </w:rPr>
            </w:pPr>
            <w:r>
              <w:rPr>
                <w:rFonts w:hint="eastAsia" w:ascii="宋体" w:hAnsi="宋体" w:cs="宋体"/>
                <w:szCs w:val="21"/>
                <w:highlight w:val="none"/>
                <w:lang w:val="en-US" w:eastAsia="zh-CN"/>
              </w:rPr>
              <w:t>其他份额：</w:t>
            </w:r>
            <w:r>
              <w:rPr>
                <w:rFonts w:hint="eastAsia" w:ascii="宋体" w:hAnsi="宋体" w:cs="宋体"/>
                <w:szCs w:val="21"/>
                <w:highlight w:val="none"/>
              </w:rPr>
              <w:t>单户持有上限〖</w:t>
            </w:r>
            <w:r>
              <w:rPr>
                <w:rFonts w:hint="eastAsia" w:ascii="宋体" w:hAnsi="宋体" w:cs="宋体"/>
                <w:szCs w:val="21"/>
                <w:highlight w:val="none"/>
                <w:lang w:val="en-US" w:eastAsia="zh-CN"/>
              </w:rPr>
              <w:t>1亿</w:t>
            </w:r>
            <w:r>
              <w:rPr>
                <w:rFonts w:hint="eastAsia" w:ascii="宋体" w:hAnsi="宋体" w:cs="宋体"/>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申购份额</w:t>
            </w:r>
          </w:p>
        </w:tc>
        <w:tc>
          <w:tcPr>
            <w:tcW w:w="7281" w:type="dxa"/>
            <w:vAlign w:val="center"/>
          </w:tcPr>
          <w:p>
            <w:pPr>
              <w:widowControl/>
              <w:spacing w:line="360" w:lineRule="auto"/>
              <w:contextualSpacing/>
              <w:rPr>
                <w:rFonts w:ascii="宋体" w:hAnsi="宋体" w:cs="宋体"/>
                <w:color w:val="000000"/>
                <w:szCs w:val="21"/>
                <w:highlight w:val="none"/>
              </w:rPr>
            </w:pPr>
            <w:r>
              <w:rPr>
                <w:rFonts w:hint="eastAsia" w:ascii="宋体" w:hAnsi="宋体" w:cs="宋体"/>
                <w:bCs/>
                <w:szCs w:val="21"/>
                <w:highlight w:val="none"/>
              </w:rPr>
              <w:t>申购份额=申购金额/确认日前一日的单位净值</w:t>
            </w:r>
            <w:r>
              <w:rPr>
                <w:rFonts w:hint="eastAsia" w:ascii="宋体" w:hAnsi="宋体" w:cs="宋体"/>
                <w:bCs/>
                <w:szCs w:val="21"/>
                <w:highlight w:val="none"/>
                <w:lang w:eastAsia="zh-CN"/>
              </w:rPr>
              <w:t>。</w:t>
            </w:r>
            <w:r>
              <w:rPr>
                <w:rFonts w:hint="eastAsia" w:ascii="宋体" w:hAnsi="宋体" w:cs="宋体"/>
                <w:bCs/>
                <w:szCs w:val="21"/>
                <w:highlight w:val="none"/>
              </w:rPr>
              <w:t>申购</w:t>
            </w:r>
            <w:r>
              <w:rPr>
                <w:rFonts w:hint="eastAsia" w:ascii="宋体" w:hAnsi="宋体" w:cs="宋体"/>
                <w:color w:val="000000"/>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hint="eastAsia" w:ascii="宋体" w:hAnsi="宋体" w:cs="宋体"/>
                <w:color w:val="000000"/>
                <w:szCs w:val="21"/>
                <w:highlight w:val="none"/>
              </w:rPr>
            </w:pPr>
            <w:r>
              <w:rPr>
                <w:rFonts w:hint="eastAsia" w:ascii="宋体" w:hAnsi="宋体" w:cs="宋体"/>
                <w:color w:val="000000"/>
                <w:szCs w:val="21"/>
                <w:highlight w:val="none"/>
              </w:rPr>
              <w:t>赎回金额</w:t>
            </w:r>
          </w:p>
        </w:tc>
        <w:tc>
          <w:tcPr>
            <w:tcW w:w="7281" w:type="dxa"/>
            <w:vAlign w:val="center"/>
          </w:tcPr>
          <w:p>
            <w:pPr>
              <w:widowControl/>
              <w:spacing w:line="360" w:lineRule="auto"/>
              <w:contextualSpacing/>
              <w:rPr>
                <w:rFonts w:hint="eastAsia" w:ascii="宋体" w:hAnsi="宋体" w:cs="宋体"/>
                <w:color w:val="000000"/>
                <w:szCs w:val="21"/>
                <w:highlight w:val="none"/>
              </w:rPr>
            </w:pPr>
            <w:r>
              <w:rPr>
                <w:rFonts w:hint="eastAsia" w:ascii="宋体" w:hAnsi="宋体" w:cs="宋体"/>
                <w:color w:val="000000"/>
                <w:szCs w:val="21"/>
                <w:highlight w:val="none"/>
              </w:rPr>
              <w:t>赎回金额=赎</w:t>
            </w:r>
            <w:r>
              <w:rPr>
                <w:rFonts w:hint="eastAsia" w:ascii="宋体" w:hAnsi="宋体" w:cs="宋体"/>
                <w:bCs/>
                <w:szCs w:val="21"/>
                <w:highlight w:val="none"/>
              </w:rPr>
              <w:t>回份额×确认日前一日的单位净值。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单位净值</w:t>
            </w:r>
          </w:p>
        </w:tc>
        <w:tc>
          <w:tcPr>
            <w:tcW w:w="7281" w:type="dxa"/>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单位净值=理财计划估值日理财计划总净值/理财计划总份额，单位净值保留小数点后</w:t>
            </w:r>
            <w:r>
              <w:rPr>
                <w:rFonts w:hint="eastAsia" w:ascii="宋体" w:hAnsi="宋体" w:cs="宋体"/>
                <w:color w:val="000000"/>
                <w:szCs w:val="21"/>
                <w:highlight w:val="none"/>
                <w:lang w:val="en-US" w:eastAsia="zh-CN"/>
              </w:rPr>
              <w:t>六</w:t>
            </w:r>
            <w:r>
              <w:rPr>
                <w:rFonts w:hint="eastAsia" w:ascii="宋体" w:hAnsi="宋体" w:cs="宋体"/>
                <w:color w:val="000000"/>
                <w:szCs w:val="21"/>
                <w:highlight w:val="none"/>
              </w:rPr>
              <w:t>位</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小数点六位以后去尾</w:t>
            </w:r>
            <w:r>
              <w:rPr>
                <w:rFonts w:hint="eastAsia" w:ascii="宋体" w:hAnsi="宋体" w:cs="宋体"/>
                <w:color w:val="000000"/>
                <w:szCs w:val="21"/>
                <w:highlight w:val="none"/>
              </w:rPr>
              <w:t>。</w:t>
            </w:r>
          </w:p>
          <w:p>
            <w:pPr>
              <w:widowControl/>
              <w:spacing w:line="360" w:lineRule="auto"/>
              <w:contextualSpacing/>
              <w:rPr>
                <w:rFonts w:ascii="宋体" w:hAnsi="宋体" w:cs="宋体"/>
                <w:b/>
                <w:color w:val="000000"/>
                <w:szCs w:val="21"/>
                <w:highlight w:val="none"/>
              </w:rPr>
            </w:pPr>
            <w:r>
              <w:rPr>
                <w:rFonts w:hint="eastAsia" w:ascii="宋体" w:hAnsi="宋体" w:cs="宋体"/>
                <w:color w:val="000000"/>
                <w:szCs w:val="21"/>
                <w:highlight w:val="none"/>
              </w:rPr>
              <w:t>理财计划总净值=理财计划认购总额+理财计划所获总收益-理财计划总费用（包括但不限于管理费、托管费、销售服务费等）。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资金与收益支付方式</w:t>
            </w:r>
          </w:p>
        </w:tc>
        <w:tc>
          <w:tcPr>
            <w:tcW w:w="7281" w:type="dxa"/>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1.赎回资金确认后，最快</w:t>
            </w:r>
            <w:r>
              <w:rPr>
                <w:rFonts w:hint="eastAsia" w:ascii="宋体" w:hAnsi="宋体" w:cs="宋体"/>
                <w:color w:val="000000"/>
                <w:szCs w:val="21"/>
                <w:highlight w:val="none"/>
                <w:lang w:val="en-US" w:eastAsia="zh-CN"/>
              </w:rPr>
              <w:t>于确认日当日</w:t>
            </w:r>
            <w:r>
              <w:rPr>
                <w:rFonts w:hint="eastAsia" w:ascii="宋体" w:hAnsi="宋体" w:cs="宋体"/>
                <w:color w:val="000000"/>
                <w:szCs w:val="21"/>
                <w:highlight w:val="none"/>
              </w:rPr>
              <w:t>，最晚</w:t>
            </w:r>
            <w:r>
              <w:rPr>
                <w:rFonts w:hint="eastAsia" w:ascii="宋体" w:hAnsi="宋体" w:cs="宋体"/>
                <w:color w:val="000000"/>
                <w:szCs w:val="21"/>
                <w:highlight w:val="none"/>
                <w:lang w:val="en-US" w:eastAsia="zh-CN"/>
              </w:rPr>
              <w:t>于确认日后</w:t>
            </w:r>
            <w:r>
              <w:rPr>
                <w:rFonts w:hint="eastAsia" w:ascii="宋体" w:hAnsi="宋体" w:cs="宋体"/>
                <w:szCs w:val="21"/>
                <w:highlight w:val="none"/>
              </w:rPr>
              <w:t>〖</w:t>
            </w:r>
            <w:r>
              <w:rPr>
                <w:rFonts w:hint="eastAsia" w:ascii="宋体" w:hAnsi="宋体" w:cs="宋体"/>
                <w:szCs w:val="21"/>
                <w:highlight w:val="none"/>
                <w:lang w:val="en-US" w:eastAsia="zh-CN"/>
              </w:rPr>
              <w:t>2</w:t>
            </w:r>
            <w:r>
              <w:rPr>
                <w:rFonts w:hint="eastAsia" w:ascii="宋体" w:hAnsi="宋体" w:cs="宋体"/>
                <w:szCs w:val="21"/>
                <w:highlight w:val="none"/>
              </w:rPr>
              <w:t>〗</w:t>
            </w:r>
            <w:r>
              <w:rPr>
                <w:rFonts w:hint="eastAsia" w:ascii="宋体" w:hAnsi="宋体" w:cs="宋体"/>
                <w:color w:val="000000"/>
                <w:szCs w:val="21"/>
                <w:highlight w:val="none"/>
              </w:rPr>
              <w:t>个交易日内（遇节假日顺延）理财资金与收益一次性支付。如遇资金在途或法定工作日调整，实际资金到账日以公告为准。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2.理财计划到期后，最快</w:t>
            </w:r>
            <w:r>
              <w:rPr>
                <w:rFonts w:hint="eastAsia" w:ascii="宋体" w:hAnsi="宋体" w:cs="宋体"/>
                <w:color w:val="000000"/>
                <w:szCs w:val="21"/>
                <w:highlight w:val="none"/>
                <w:lang w:val="en-US" w:eastAsia="zh-CN"/>
              </w:rPr>
              <w:t>于到期日后</w:t>
            </w:r>
            <w:r>
              <w:rPr>
                <w:rFonts w:hint="eastAsia" w:ascii="宋体" w:hAnsi="宋体" w:cs="宋体"/>
                <w:szCs w:val="21"/>
                <w:highlight w:val="none"/>
              </w:rPr>
              <w:t>〖</w:t>
            </w:r>
            <w:r>
              <w:rPr>
                <w:rFonts w:hint="eastAsia" w:ascii="宋体" w:hAnsi="宋体" w:cs="宋体"/>
                <w:szCs w:val="21"/>
                <w:highlight w:val="none"/>
                <w:lang w:val="en-US" w:eastAsia="zh-CN"/>
              </w:rPr>
              <w:t>1</w:t>
            </w:r>
            <w:r>
              <w:rPr>
                <w:rFonts w:hint="eastAsia" w:ascii="宋体" w:hAnsi="宋体" w:cs="宋体"/>
                <w:szCs w:val="21"/>
                <w:highlight w:val="none"/>
              </w:rPr>
              <w:t>〗</w:t>
            </w:r>
            <w:r>
              <w:rPr>
                <w:rFonts w:hint="eastAsia" w:ascii="宋体" w:hAnsi="宋体" w:cs="宋体"/>
                <w:color w:val="000000"/>
                <w:szCs w:val="21"/>
                <w:highlight w:val="none"/>
              </w:rPr>
              <w:t>个交易日，最晚</w:t>
            </w:r>
            <w:r>
              <w:rPr>
                <w:rFonts w:hint="eastAsia" w:ascii="宋体" w:hAnsi="宋体" w:cs="宋体"/>
                <w:color w:val="000000"/>
                <w:szCs w:val="21"/>
                <w:highlight w:val="none"/>
                <w:lang w:val="en-US" w:eastAsia="zh-CN"/>
              </w:rPr>
              <w:t>于到期日后</w:t>
            </w: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w:t>
            </w:r>
            <w:r>
              <w:rPr>
                <w:rFonts w:hint="eastAsia" w:ascii="宋体" w:hAnsi="宋体" w:cs="宋体"/>
                <w:color w:val="000000"/>
                <w:szCs w:val="21"/>
                <w:highlight w:val="none"/>
              </w:rPr>
              <w:t>个交易日内（遇节假日顺延）理财资金与收益一次性支付。如遇资金在途或法定工作日调整，实际资金到账日以公告为准。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收益分配</w:t>
            </w:r>
          </w:p>
        </w:tc>
        <w:tc>
          <w:tcPr>
            <w:tcW w:w="7281" w:type="dxa"/>
            <w:vAlign w:val="center"/>
          </w:tcPr>
          <w:p>
            <w:pPr>
              <w:widowControl/>
              <w:spacing w:line="360" w:lineRule="auto"/>
              <w:contextualSpacing/>
              <w:rPr>
                <w:rFonts w:ascii="宋体" w:hAnsi="宋体" w:cs="宋体"/>
                <w:b/>
                <w:szCs w:val="21"/>
                <w:highlight w:val="none"/>
              </w:rPr>
            </w:pPr>
            <w:r>
              <w:rPr>
                <w:rFonts w:hint="eastAsia" w:ascii="宋体" w:hAnsi="宋体" w:cs="宋体"/>
                <w:color w:val="000000"/>
                <w:szCs w:val="21"/>
                <w:highlight w:val="none"/>
              </w:rPr>
              <w:t>在满足收益分配基准日理财计划份额净值大于1元的情况下，管理人将</w:t>
            </w:r>
            <w:r>
              <w:rPr>
                <w:rFonts w:hint="eastAsia" w:ascii="宋体" w:hAnsi="宋体" w:cs="宋体"/>
                <w:szCs w:val="21"/>
                <w:highlight w:val="none"/>
              </w:rPr>
              <w:t>〖不</w:t>
            </w:r>
            <w:r>
              <w:rPr>
                <w:rFonts w:hint="eastAsia" w:ascii="宋体" w:hAnsi="宋体" w:cs="宋体"/>
                <w:color w:val="000000"/>
                <w:szCs w:val="21"/>
                <w:highlight w:val="none"/>
              </w:rPr>
              <w:t>定期</w:t>
            </w:r>
            <w:r>
              <w:rPr>
                <w:rFonts w:hint="eastAsia" w:ascii="宋体" w:hAnsi="宋体" w:cs="宋体"/>
                <w:szCs w:val="21"/>
                <w:highlight w:val="none"/>
              </w:rPr>
              <w:t>〗</w:t>
            </w:r>
            <w:r>
              <w:rPr>
                <w:rFonts w:hint="eastAsia" w:ascii="宋体" w:hAnsi="宋体" w:cs="宋体"/>
                <w:color w:val="000000"/>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业绩比较基准</w:t>
            </w:r>
          </w:p>
        </w:tc>
        <w:tc>
          <w:tcPr>
            <w:tcW w:w="7281" w:type="dxa"/>
            <w:vAlign w:val="center"/>
          </w:tcPr>
          <w:p>
            <w:pPr>
              <w:widowControl/>
              <w:spacing w:line="360" w:lineRule="auto"/>
              <w:jc w:val="left"/>
              <w:rPr>
                <w:rFonts w:hint="eastAsia" w:ascii="宋体" w:hAnsi="宋体" w:eastAsia="宋体" w:cs="宋体"/>
                <w:szCs w:val="21"/>
                <w:highlight w:val="none"/>
                <w:lang w:eastAsia="zh-CN"/>
              </w:rPr>
            </w:pPr>
            <w:r>
              <w:rPr>
                <w:rFonts w:hint="eastAsia" w:ascii="宋体" w:hAnsi="宋体" w:eastAsia="宋体" w:cs="宋体"/>
                <w:szCs w:val="21"/>
                <w:highlight w:val="none"/>
              </w:rPr>
              <w:t>本理财计划</w:t>
            </w:r>
            <w:r>
              <w:rPr>
                <w:rFonts w:hint="eastAsia" w:ascii="宋体" w:hAnsi="宋体" w:cs="宋体"/>
                <w:sz w:val="21"/>
                <w:szCs w:val="21"/>
                <w:highlight w:val="none"/>
              </w:rPr>
              <w:t>〖</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w:t>
            </w:r>
            <w:r>
              <w:rPr>
                <w:rFonts w:hint="eastAsia" w:ascii="宋体" w:hAnsi="宋体" w:eastAsia="宋体" w:cs="宋体"/>
                <w:szCs w:val="21"/>
                <w:highlight w:val="none"/>
              </w:rPr>
              <w:t>业绩比较基准为〖</w:t>
            </w:r>
            <w:r>
              <w:rPr>
                <w:rFonts w:hint="eastAsia" w:ascii="宋体" w:hAnsi="宋体" w:eastAsia="宋体" w:cs="宋体"/>
                <w:szCs w:val="21"/>
                <w:lang w:val="en-US" w:eastAsia="zh-CN"/>
              </w:rPr>
              <w:t>7天通知存款利率</w:t>
            </w:r>
            <w:r>
              <w:rPr>
                <w:rFonts w:hint="eastAsia" w:ascii="宋体" w:hAnsi="宋体" w:eastAsia="宋体" w:cs="宋体"/>
                <w:szCs w:val="21"/>
                <w:highlight w:val="none"/>
              </w:rPr>
              <w:t>〗（年化）</w:t>
            </w:r>
            <w:r>
              <w:rPr>
                <w:rFonts w:hint="eastAsia" w:ascii="宋体" w:hAnsi="宋体" w:eastAsia="宋体" w:cs="宋体"/>
                <w:szCs w:val="21"/>
                <w:highlight w:val="none"/>
                <w:lang w:eastAsia="zh-CN"/>
              </w:rPr>
              <w:t>。</w:t>
            </w:r>
          </w:p>
          <w:p>
            <w:pPr>
              <w:widowControl/>
              <w:spacing w:line="360" w:lineRule="auto"/>
              <w:jc w:val="left"/>
              <w:rPr>
                <w:rFonts w:hint="eastAsia" w:ascii="宋体" w:hAnsi="宋体" w:eastAsia="宋体" w:cs="宋体"/>
                <w:szCs w:val="21"/>
                <w:highlight w:val="none"/>
                <w:lang w:eastAsia="zh-CN"/>
              </w:rPr>
            </w:pPr>
            <w:r>
              <w:rPr>
                <w:rFonts w:hint="eastAsia" w:ascii="宋体" w:hAnsi="宋体" w:eastAsia="宋体" w:cs="宋体"/>
                <w:szCs w:val="21"/>
                <w:highlight w:val="none"/>
              </w:rPr>
              <w:t>本理财计划</w:t>
            </w:r>
            <w:r>
              <w:rPr>
                <w:rFonts w:hint="eastAsia" w:ascii="宋体" w:hAnsi="宋体" w:cs="宋体"/>
                <w:sz w:val="21"/>
                <w:szCs w:val="21"/>
                <w:highlight w:val="none"/>
              </w:rPr>
              <w:t>〖</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w:t>
            </w:r>
            <w:r>
              <w:rPr>
                <w:rFonts w:hint="eastAsia" w:ascii="宋体" w:hAnsi="宋体" w:eastAsia="宋体" w:cs="宋体"/>
                <w:szCs w:val="21"/>
                <w:highlight w:val="none"/>
              </w:rPr>
              <w:t>业绩比较基准为〖</w:t>
            </w:r>
            <w:r>
              <w:rPr>
                <w:rFonts w:hint="eastAsia" w:ascii="宋体" w:hAnsi="宋体" w:eastAsia="宋体" w:cs="宋体"/>
                <w:szCs w:val="21"/>
                <w:lang w:val="en-US" w:eastAsia="zh-CN"/>
              </w:rPr>
              <w:t>7天通知存款利率</w:t>
            </w:r>
            <w:r>
              <w:rPr>
                <w:rFonts w:hint="eastAsia" w:ascii="宋体" w:hAnsi="宋体" w:eastAsia="宋体" w:cs="宋体"/>
                <w:szCs w:val="21"/>
                <w:highlight w:val="none"/>
              </w:rPr>
              <w:t>〗（年化）</w:t>
            </w:r>
            <w:r>
              <w:rPr>
                <w:rFonts w:hint="eastAsia" w:ascii="宋体" w:hAnsi="宋体" w:eastAsia="宋体" w:cs="宋体"/>
                <w:szCs w:val="21"/>
                <w:highlight w:val="none"/>
                <w:lang w:eastAsia="zh-CN"/>
              </w:rPr>
              <w:t>。</w:t>
            </w:r>
          </w:p>
          <w:p>
            <w:pPr>
              <w:widowControl/>
              <w:spacing w:line="360" w:lineRule="auto"/>
              <w:jc w:val="left"/>
              <w:rPr>
                <w:rFonts w:hint="eastAsia" w:ascii="宋体" w:hAnsi="宋体" w:eastAsia="宋体" w:cs="宋体"/>
                <w:szCs w:val="21"/>
                <w:highlight w:val="none"/>
                <w:lang w:eastAsia="zh-CN"/>
              </w:rPr>
            </w:pPr>
            <w:r>
              <w:rPr>
                <w:rFonts w:hint="eastAsia" w:ascii="宋体" w:hAnsi="宋体" w:eastAsia="宋体" w:cs="宋体"/>
                <w:szCs w:val="21"/>
                <w:highlight w:val="none"/>
              </w:rPr>
              <w:t>本理财计划</w:t>
            </w:r>
            <w:r>
              <w:rPr>
                <w:rFonts w:hint="eastAsia" w:ascii="宋体" w:hAnsi="宋体" w:cs="宋体"/>
                <w:sz w:val="21"/>
                <w:szCs w:val="21"/>
                <w:highlight w:val="none"/>
              </w:rPr>
              <w:t>〖</w:t>
            </w:r>
            <w:r>
              <w:rPr>
                <w:rFonts w:hint="eastAsia" w:ascii="宋体" w:hAnsi="宋体" w:cs="宋体"/>
                <w:sz w:val="21"/>
                <w:szCs w:val="21"/>
                <w:highlight w:val="none"/>
                <w:lang w:val="en-US" w:eastAsia="zh-CN"/>
              </w:rPr>
              <w:t>C份额</w:t>
            </w:r>
            <w:r>
              <w:rPr>
                <w:rFonts w:hint="eastAsia" w:ascii="宋体" w:hAnsi="宋体" w:cs="宋体"/>
                <w:sz w:val="21"/>
                <w:szCs w:val="21"/>
                <w:highlight w:val="none"/>
              </w:rPr>
              <w:t>〗</w:t>
            </w:r>
            <w:r>
              <w:rPr>
                <w:rFonts w:hint="eastAsia" w:ascii="宋体" w:hAnsi="宋体" w:eastAsia="宋体" w:cs="宋体"/>
                <w:szCs w:val="21"/>
                <w:highlight w:val="none"/>
              </w:rPr>
              <w:t>业绩比较基准为〖</w:t>
            </w:r>
            <w:r>
              <w:rPr>
                <w:rFonts w:hint="eastAsia" w:ascii="宋体" w:hAnsi="宋体" w:eastAsia="宋体" w:cs="宋体"/>
                <w:szCs w:val="21"/>
                <w:lang w:val="en-US" w:eastAsia="zh-CN"/>
              </w:rPr>
              <w:t>7天通知存款利率</w:t>
            </w:r>
            <w:r>
              <w:rPr>
                <w:rFonts w:hint="eastAsia" w:ascii="宋体" w:hAnsi="宋体" w:eastAsia="宋体" w:cs="宋体"/>
                <w:szCs w:val="21"/>
                <w:highlight w:val="none"/>
              </w:rPr>
              <w:t>〗（年化）</w:t>
            </w:r>
            <w:r>
              <w:rPr>
                <w:rFonts w:hint="eastAsia" w:ascii="宋体" w:hAnsi="宋体" w:eastAsia="宋体" w:cs="宋体"/>
                <w:szCs w:val="21"/>
                <w:highlight w:val="none"/>
                <w:lang w:eastAsia="zh-CN"/>
              </w:rPr>
              <w:t>。</w:t>
            </w:r>
          </w:p>
          <w:p>
            <w:pPr>
              <w:widowControl/>
              <w:spacing w:line="360" w:lineRule="auto"/>
              <w:jc w:val="left"/>
              <w:rPr>
                <w:rFonts w:hint="eastAsia" w:ascii="宋体" w:hAnsi="宋体" w:eastAsia="宋体" w:cs="宋体"/>
                <w:szCs w:val="21"/>
                <w:highlight w:val="none"/>
                <w:lang w:eastAsia="zh-CN"/>
              </w:rPr>
            </w:pPr>
            <w:r>
              <w:rPr>
                <w:rFonts w:hint="eastAsia" w:ascii="宋体" w:hAnsi="宋体" w:eastAsia="宋体" w:cs="宋体"/>
                <w:szCs w:val="21"/>
                <w:highlight w:val="none"/>
              </w:rPr>
              <w:t>本理财计划</w:t>
            </w:r>
            <w:r>
              <w:rPr>
                <w:rFonts w:hint="eastAsia" w:ascii="宋体" w:hAnsi="宋体" w:cs="宋体"/>
                <w:sz w:val="21"/>
                <w:szCs w:val="21"/>
                <w:highlight w:val="none"/>
              </w:rPr>
              <w:t>〖</w:t>
            </w:r>
            <w:r>
              <w:rPr>
                <w:rFonts w:hint="eastAsia" w:ascii="宋体" w:hAnsi="宋体" w:cs="宋体"/>
                <w:sz w:val="21"/>
                <w:szCs w:val="21"/>
                <w:highlight w:val="none"/>
                <w:lang w:val="en-US" w:eastAsia="zh-CN"/>
              </w:rPr>
              <w:t>D份额</w:t>
            </w:r>
            <w:r>
              <w:rPr>
                <w:rFonts w:hint="eastAsia" w:ascii="宋体" w:hAnsi="宋体" w:cs="宋体"/>
                <w:sz w:val="21"/>
                <w:szCs w:val="21"/>
                <w:highlight w:val="none"/>
              </w:rPr>
              <w:t>〗</w:t>
            </w:r>
            <w:r>
              <w:rPr>
                <w:rFonts w:hint="eastAsia" w:ascii="宋体" w:hAnsi="宋体" w:eastAsia="宋体" w:cs="宋体"/>
                <w:szCs w:val="21"/>
                <w:highlight w:val="none"/>
              </w:rPr>
              <w:t>业绩比较基准为〖</w:t>
            </w:r>
            <w:r>
              <w:rPr>
                <w:rFonts w:hint="eastAsia" w:ascii="宋体" w:hAnsi="宋体" w:eastAsia="宋体" w:cs="宋体"/>
                <w:szCs w:val="21"/>
                <w:lang w:val="en-US" w:eastAsia="zh-CN"/>
              </w:rPr>
              <w:t>7天通知存款利率</w:t>
            </w:r>
            <w:r>
              <w:rPr>
                <w:rFonts w:hint="eastAsia" w:ascii="宋体" w:hAnsi="宋体" w:eastAsia="宋体" w:cs="宋体"/>
                <w:szCs w:val="21"/>
                <w:highlight w:val="none"/>
              </w:rPr>
              <w:t>〗（年化）</w:t>
            </w:r>
            <w:r>
              <w:rPr>
                <w:rFonts w:hint="eastAsia" w:ascii="宋体" w:hAnsi="宋体" w:eastAsia="宋体" w:cs="宋体"/>
                <w:szCs w:val="21"/>
                <w:highlight w:val="none"/>
                <w:lang w:eastAsia="zh-CN"/>
              </w:rPr>
              <w:t>。</w:t>
            </w:r>
          </w:p>
          <w:p>
            <w:pPr>
              <w:widowControl/>
              <w:spacing w:line="360" w:lineRule="auto"/>
              <w:jc w:val="left"/>
              <w:rPr>
                <w:rFonts w:hint="eastAsia" w:ascii="宋体" w:hAnsi="宋体" w:eastAsia="宋体" w:cs="宋体"/>
                <w:szCs w:val="21"/>
                <w:highlight w:val="none"/>
                <w:lang w:eastAsia="zh-CN"/>
              </w:rPr>
            </w:pPr>
            <w:r>
              <w:rPr>
                <w:rFonts w:hint="eastAsia" w:ascii="宋体" w:hAnsi="宋体" w:eastAsia="宋体" w:cs="宋体"/>
                <w:szCs w:val="21"/>
                <w:highlight w:val="none"/>
              </w:rPr>
              <w:t>本理财计划</w:t>
            </w:r>
            <w:r>
              <w:rPr>
                <w:rFonts w:hint="eastAsia" w:ascii="宋体" w:hAnsi="宋体" w:cs="宋体"/>
                <w:sz w:val="21"/>
                <w:szCs w:val="21"/>
                <w:highlight w:val="none"/>
              </w:rPr>
              <w:t>〖</w:t>
            </w:r>
            <w:r>
              <w:rPr>
                <w:rFonts w:hint="eastAsia" w:ascii="宋体" w:hAnsi="宋体" w:cs="宋体"/>
                <w:sz w:val="21"/>
                <w:szCs w:val="21"/>
                <w:highlight w:val="none"/>
                <w:lang w:val="en-US" w:eastAsia="zh-CN"/>
              </w:rPr>
              <w:t>E份额</w:t>
            </w:r>
            <w:r>
              <w:rPr>
                <w:rFonts w:hint="eastAsia" w:ascii="宋体" w:hAnsi="宋体" w:cs="宋体"/>
                <w:sz w:val="21"/>
                <w:szCs w:val="21"/>
                <w:highlight w:val="none"/>
              </w:rPr>
              <w:t>〗</w:t>
            </w:r>
            <w:r>
              <w:rPr>
                <w:rFonts w:hint="eastAsia" w:ascii="宋体" w:hAnsi="宋体" w:eastAsia="宋体" w:cs="宋体"/>
                <w:szCs w:val="21"/>
                <w:highlight w:val="none"/>
              </w:rPr>
              <w:t>业绩比较基准为〖</w:t>
            </w:r>
            <w:r>
              <w:rPr>
                <w:rFonts w:hint="eastAsia" w:ascii="宋体" w:hAnsi="宋体" w:eastAsia="宋体" w:cs="宋体"/>
                <w:szCs w:val="21"/>
                <w:lang w:val="en-US" w:eastAsia="zh-CN"/>
              </w:rPr>
              <w:t>7天通知存款利率</w:t>
            </w:r>
            <w:r>
              <w:rPr>
                <w:rFonts w:hint="eastAsia" w:ascii="宋体" w:hAnsi="宋体" w:eastAsia="宋体" w:cs="宋体"/>
                <w:szCs w:val="21"/>
                <w:highlight w:val="none"/>
              </w:rPr>
              <w:t>〗（年化）</w:t>
            </w:r>
            <w:r>
              <w:rPr>
                <w:rFonts w:hint="eastAsia" w:ascii="宋体" w:hAnsi="宋体" w:eastAsia="宋体" w:cs="宋体"/>
                <w:szCs w:val="21"/>
                <w:highlight w:val="none"/>
                <w:lang w:eastAsia="zh-CN"/>
              </w:rPr>
              <w:t>。</w:t>
            </w:r>
          </w:p>
          <w:p>
            <w:pPr>
              <w:widowControl/>
              <w:spacing w:line="360" w:lineRule="auto"/>
              <w:jc w:val="left"/>
              <w:rPr>
                <w:rFonts w:hint="eastAsia" w:ascii="宋体" w:hAnsi="宋体" w:eastAsia="宋体" w:cs="宋体"/>
                <w:szCs w:val="21"/>
                <w:highlight w:val="none"/>
                <w:lang w:eastAsia="zh-CN"/>
              </w:rPr>
            </w:pPr>
            <w:r>
              <w:rPr>
                <w:rFonts w:hint="eastAsia" w:ascii="宋体" w:hAnsi="宋体" w:eastAsia="宋体" w:cs="宋体"/>
                <w:szCs w:val="21"/>
                <w:highlight w:val="none"/>
              </w:rPr>
              <w:t>本理财计划</w:t>
            </w:r>
            <w:r>
              <w:rPr>
                <w:rFonts w:hint="eastAsia" w:ascii="宋体" w:hAnsi="宋体" w:cs="宋体"/>
                <w:sz w:val="21"/>
                <w:szCs w:val="21"/>
                <w:highlight w:val="none"/>
              </w:rPr>
              <w:t>〖</w:t>
            </w:r>
            <w:r>
              <w:rPr>
                <w:rFonts w:hint="eastAsia" w:ascii="宋体" w:hAnsi="宋体" w:cs="宋体"/>
                <w:sz w:val="21"/>
                <w:szCs w:val="21"/>
                <w:highlight w:val="none"/>
                <w:lang w:val="en-US" w:eastAsia="zh-CN"/>
              </w:rPr>
              <w:t>F份额</w:t>
            </w:r>
            <w:r>
              <w:rPr>
                <w:rFonts w:hint="eastAsia" w:ascii="宋体" w:hAnsi="宋体" w:cs="宋体"/>
                <w:sz w:val="21"/>
                <w:szCs w:val="21"/>
                <w:highlight w:val="none"/>
              </w:rPr>
              <w:t>〗</w:t>
            </w:r>
            <w:r>
              <w:rPr>
                <w:rFonts w:hint="eastAsia" w:ascii="宋体" w:hAnsi="宋体" w:eastAsia="宋体" w:cs="宋体"/>
                <w:szCs w:val="21"/>
                <w:highlight w:val="none"/>
              </w:rPr>
              <w:t>业绩比较基准为〖</w:t>
            </w:r>
            <w:r>
              <w:rPr>
                <w:rFonts w:hint="eastAsia" w:ascii="宋体" w:hAnsi="宋体" w:eastAsia="宋体" w:cs="宋体"/>
                <w:szCs w:val="21"/>
                <w:lang w:val="en-US" w:eastAsia="zh-CN"/>
              </w:rPr>
              <w:t>7天通知存款利率+0.15%</w:t>
            </w:r>
            <w:r>
              <w:rPr>
                <w:rFonts w:hint="eastAsia" w:ascii="宋体" w:hAnsi="宋体" w:eastAsia="宋体" w:cs="宋体"/>
                <w:szCs w:val="21"/>
                <w:highlight w:val="none"/>
              </w:rPr>
              <w:t>〗（年化）</w:t>
            </w:r>
            <w:r>
              <w:rPr>
                <w:rFonts w:hint="eastAsia" w:ascii="宋体" w:hAnsi="宋体" w:eastAsia="宋体" w:cs="宋体"/>
                <w:szCs w:val="21"/>
                <w:highlight w:val="none"/>
                <w:lang w:eastAsia="zh-CN"/>
              </w:rPr>
              <w:t>。</w:t>
            </w:r>
          </w:p>
          <w:p>
            <w:pPr>
              <w:widowControl/>
              <w:spacing w:line="360" w:lineRule="auto"/>
              <w:jc w:val="left"/>
              <w:rPr>
                <w:rFonts w:hint="eastAsia" w:ascii="宋体" w:hAnsi="宋体" w:eastAsia="宋体" w:cs="宋体"/>
                <w:szCs w:val="21"/>
                <w:highlight w:val="none"/>
                <w:lang w:eastAsia="zh-CN"/>
              </w:rPr>
            </w:pPr>
            <w:r>
              <w:rPr>
                <w:rFonts w:hint="eastAsia" w:ascii="宋体" w:hAnsi="宋体" w:eastAsia="宋体" w:cs="宋体"/>
                <w:szCs w:val="21"/>
                <w:highlight w:val="none"/>
              </w:rPr>
              <w:t>本理财计划</w:t>
            </w:r>
            <w:r>
              <w:rPr>
                <w:rFonts w:hint="eastAsia" w:ascii="宋体" w:hAnsi="宋体" w:cs="宋体"/>
                <w:sz w:val="21"/>
                <w:szCs w:val="21"/>
                <w:highlight w:val="none"/>
              </w:rPr>
              <w:t>〖</w:t>
            </w:r>
            <w:r>
              <w:rPr>
                <w:rFonts w:hint="eastAsia" w:ascii="宋体" w:hAnsi="宋体" w:cs="宋体"/>
                <w:sz w:val="21"/>
                <w:szCs w:val="21"/>
                <w:highlight w:val="none"/>
                <w:lang w:val="en-US" w:eastAsia="zh-CN"/>
              </w:rPr>
              <w:t>G份额</w:t>
            </w:r>
            <w:r>
              <w:rPr>
                <w:rFonts w:hint="eastAsia" w:ascii="宋体" w:hAnsi="宋体" w:cs="宋体"/>
                <w:sz w:val="21"/>
                <w:szCs w:val="21"/>
                <w:highlight w:val="none"/>
              </w:rPr>
              <w:t>〗</w:t>
            </w:r>
            <w:r>
              <w:rPr>
                <w:rFonts w:hint="eastAsia" w:ascii="宋体" w:hAnsi="宋体" w:eastAsia="宋体" w:cs="宋体"/>
                <w:szCs w:val="21"/>
                <w:highlight w:val="none"/>
              </w:rPr>
              <w:t>业绩比较基准为〖</w:t>
            </w:r>
            <w:r>
              <w:rPr>
                <w:rFonts w:hint="eastAsia" w:ascii="宋体" w:hAnsi="宋体" w:eastAsia="宋体" w:cs="宋体"/>
                <w:szCs w:val="21"/>
                <w:lang w:val="en-US" w:eastAsia="zh-CN"/>
              </w:rPr>
              <w:t>7天通知存款利率</w:t>
            </w:r>
            <w:r>
              <w:rPr>
                <w:rFonts w:hint="eastAsia" w:ascii="宋体" w:hAnsi="宋体" w:eastAsia="宋体" w:cs="宋体"/>
                <w:szCs w:val="21"/>
                <w:highlight w:val="none"/>
              </w:rPr>
              <w:t>〗（年化）</w:t>
            </w:r>
            <w:r>
              <w:rPr>
                <w:rFonts w:hint="eastAsia" w:ascii="宋体" w:hAnsi="宋体" w:eastAsia="宋体" w:cs="宋体"/>
                <w:szCs w:val="21"/>
                <w:highlight w:val="none"/>
                <w:lang w:eastAsia="zh-CN"/>
              </w:rPr>
              <w:t>。</w:t>
            </w:r>
          </w:p>
          <w:p>
            <w:pPr>
              <w:widowControl/>
              <w:spacing w:line="360" w:lineRule="auto"/>
              <w:jc w:val="left"/>
              <w:rPr>
                <w:rFonts w:hint="eastAsia" w:ascii="宋体" w:hAnsi="宋体" w:eastAsia="宋体" w:cs="宋体"/>
                <w:szCs w:val="21"/>
                <w:highlight w:val="none"/>
                <w:lang w:eastAsia="zh-CN"/>
              </w:rPr>
            </w:pPr>
            <w:r>
              <w:rPr>
                <w:rFonts w:hint="eastAsia" w:ascii="宋体" w:hAnsi="宋体" w:eastAsia="宋体" w:cs="宋体"/>
                <w:szCs w:val="21"/>
                <w:highlight w:val="none"/>
              </w:rPr>
              <w:t>本理财计划</w:t>
            </w:r>
            <w:r>
              <w:rPr>
                <w:rFonts w:hint="eastAsia" w:ascii="宋体" w:hAnsi="宋体" w:cs="宋体"/>
                <w:sz w:val="21"/>
                <w:szCs w:val="21"/>
                <w:highlight w:val="none"/>
              </w:rPr>
              <w:t>〖</w:t>
            </w:r>
            <w:r>
              <w:rPr>
                <w:rFonts w:hint="eastAsia" w:ascii="宋体" w:hAnsi="宋体" w:cs="宋体"/>
                <w:sz w:val="21"/>
                <w:szCs w:val="21"/>
                <w:highlight w:val="none"/>
                <w:lang w:val="en-US" w:eastAsia="zh-CN"/>
              </w:rPr>
              <w:t>H份额</w:t>
            </w:r>
            <w:r>
              <w:rPr>
                <w:rFonts w:hint="eastAsia" w:ascii="宋体" w:hAnsi="宋体" w:cs="宋体"/>
                <w:sz w:val="21"/>
                <w:szCs w:val="21"/>
                <w:highlight w:val="none"/>
              </w:rPr>
              <w:t>〗</w:t>
            </w:r>
            <w:r>
              <w:rPr>
                <w:rFonts w:hint="eastAsia" w:ascii="宋体" w:hAnsi="宋体" w:eastAsia="宋体" w:cs="宋体"/>
                <w:szCs w:val="21"/>
                <w:highlight w:val="none"/>
              </w:rPr>
              <w:t>业绩比较基准为〖</w:t>
            </w:r>
            <w:r>
              <w:rPr>
                <w:rFonts w:hint="eastAsia" w:ascii="宋体" w:hAnsi="宋体" w:eastAsia="宋体" w:cs="宋体"/>
                <w:szCs w:val="21"/>
                <w:lang w:val="en-US" w:eastAsia="zh-CN"/>
              </w:rPr>
              <w:t>7天通知存款利率+0.15%</w:t>
            </w:r>
            <w:r>
              <w:rPr>
                <w:rFonts w:hint="eastAsia" w:ascii="宋体" w:hAnsi="宋体" w:eastAsia="宋体" w:cs="宋体"/>
                <w:szCs w:val="21"/>
                <w:highlight w:val="none"/>
              </w:rPr>
              <w:t>〗（年化）</w:t>
            </w:r>
            <w:r>
              <w:rPr>
                <w:rFonts w:hint="eastAsia" w:ascii="宋体" w:hAnsi="宋体" w:eastAsia="宋体" w:cs="宋体"/>
                <w:szCs w:val="21"/>
                <w:highlight w:val="none"/>
                <w:lang w:eastAsia="zh-CN"/>
              </w:rPr>
              <w:t>。</w:t>
            </w:r>
          </w:p>
          <w:p>
            <w:pPr>
              <w:widowControl/>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本理财计划</w:t>
            </w:r>
            <w:r>
              <w:rPr>
                <w:rFonts w:hint="eastAsia" w:ascii="宋体" w:hAnsi="宋体" w:cs="宋体"/>
                <w:sz w:val="21"/>
                <w:szCs w:val="21"/>
                <w:highlight w:val="none"/>
              </w:rPr>
              <w:t>〖</w:t>
            </w:r>
            <w:r>
              <w:rPr>
                <w:rFonts w:hint="eastAsia" w:ascii="宋体" w:hAnsi="宋体" w:cs="宋体"/>
                <w:sz w:val="21"/>
                <w:szCs w:val="21"/>
                <w:highlight w:val="none"/>
                <w:lang w:val="en-US" w:eastAsia="zh-CN"/>
              </w:rPr>
              <w:t>Y份额</w:t>
            </w:r>
            <w:r>
              <w:rPr>
                <w:rFonts w:hint="eastAsia" w:ascii="宋体" w:hAnsi="宋体" w:cs="宋体"/>
                <w:sz w:val="21"/>
                <w:szCs w:val="21"/>
                <w:highlight w:val="none"/>
              </w:rPr>
              <w:t>〗</w:t>
            </w:r>
            <w:r>
              <w:rPr>
                <w:rFonts w:hint="eastAsia" w:ascii="宋体" w:hAnsi="宋体" w:eastAsia="宋体" w:cs="宋体"/>
                <w:szCs w:val="21"/>
                <w:highlight w:val="none"/>
              </w:rPr>
              <w:t>业绩比较基准为〖</w:t>
            </w:r>
            <w:r>
              <w:rPr>
                <w:rFonts w:hint="eastAsia" w:ascii="宋体" w:hAnsi="宋体" w:eastAsia="宋体" w:cs="宋体"/>
                <w:szCs w:val="21"/>
                <w:lang w:val="en-US" w:eastAsia="zh-CN"/>
              </w:rPr>
              <w:t>7天通知存款利率</w:t>
            </w:r>
            <w:r>
              <w:rPr>
                <w:rFonts w:hint="eastAsia" w:ascii="宋体" w:hAnsi="宋体" w:eastAsia="宋体" w:cs="宋体"/>
                <w:szCs w:val="21"/>
                <w:highlight w:val="none"/>
              </w:rPr>
              <w:t>〗（年化）</w:t>
            </w:r>
            <w:r>
              <w:rPr>
                <w:rFonts w:hint="eastAsia" w:ascii="宋体" w:hAnsi="宋体" w:eastAsia="宋体" w:cs="宋体"/>
                <w:szCs w:val="21"/>
                <w:highlight w:val="none"/>
                <w:lang w:eastAsia="zh-CN"/>
              </w:rPr>
              <w:t>。</w:t>
            </w:r>
          </w:p>
          <w:p>
            <w:pPr>
              <w:widowControl/>
              <w:spacing w:line="360" w:lineRule="auto"/>
              <w:jc w:val="left"/>
              <w:rPr>
                <w:rFonts w:hint="eastAsia" w:ascii="宋体" w:hAnsi="宋体" w:eastAsia="宋体" w:cs="宋体"/>
                <w:szCs w:val="21"/>
                <w:highlight w:val="none"/>
                <w:lang w:eastAsia="zh-CN"/>
              </w:rPr>
            </w:pPr>
            <w:r>
              <w:rPr>
                <w:rFonts w:hint="eastAsia" w:ascii="宋体" w:hAnsi="宋体" w:eastAsia="宋体" w:cs="宋体"/>
                <w:szCs w:val="21"/>
                <w:highlight w:val="none"/>
              </w:rPr>
              <w:t>本理财计划</w:t>
            </w:r>
            <w:r>
              <w:rPr>
                <w:rFonts w:hint="eastAsia" w:ascii="宋体" w:hAnsi="宋体" w:cs="宋体"/>
                <w:sz w:val="21"/>
                <w:szCs w:val="21"/>
                <w:highlight w:val="none"/>
              </w:rPr>
              <w:t>〖</w:t>
            </w:r>
            <w:r>
              <w:rPr>
                <w:rFonts w:hint="eastAsia" w:ascii="宋体" w:hAnsi="宋体" w:cs="宋体"/>
                <w:sz w:val="21"/>
                <w:szCs w:val="21"/>
                <w:highlight w:val="none"/>
                <w:lang w:val="en-US" w:eastAsia="zh-CN"/>
              </w:rPr>
              <w:t>Z份额</w:t>
            </w:r>
            <w:r>
              <w:rPr>
                <w:rFonts w:hint="eastAsia" w:ascii="宋体" w:hAnsi="宋体" w:cs="宋体"/>
                <w:sz w:val="21"/>
                <w:szCs w:val="21"/>
                <w:highlight w:val="none"/>
              </w:rPr>
              <w:t>〗</w:t>
            </w:r>
            <w:r>
              <w:rPr>
                <w:rFonts w:hint="eastAsia" w:ascii="宋体" w:hAnsi="宋体" w:eastAsia="宋体" w:cs="宋体"/>
                <w:szCs w:val="21"/>
                <w:highlight w:val="none"/>
              </w:rPr>
              <w:t>业绩比较基准为〖</w:t>
            </w:r>
            <w:r>
              <w:rPr>
                <w:rFonts w:hint="eastAsia" w:ascii="宋体" w:hAnsi="宋体" w:eastAsia="宋体" w:cs="宋体"/>
                <w:szCs w:val="21"/>
                <w:lang w:val="en-US" w:eastAsia="zh-CN"/>
              </w:rPr>
              <w:t>7天通知存款利率+0.20%</w:t>
            </w:r>
            <w:r>
              <w:rPr>
                <w:rFonts w:hint="eastAsia" w:ascii="宋体" w:hAnsi="宋体" w:eastAsia="宋体" w:cs="宋体"/>
                <w:szCs w:val="21"/>
                <w:highlight w:val="none"/>
              </w:rPr>
              <w:t>〗（年化）</w:t>
            </w:r>
            <w:r>
              <w:rPr>
                <w:rFonts w:hint="eastAsia" w:ascii="宋体" w:hAnsi="宋体" w:eastAsia="宋体" w:cs="宋体"/>
                <w:szCs w:val="21"/>
                <w:highlight w:val="none"/>
                <w:lang w:eastAsia="zh-CN"/>
              </w:rPr>
              <w:t>。</w:t>
            </w:r>
          </w:p>
          <w:p>
            <w:pPr>
              <w:widowControl/>
              <w:spacing w:line="360" w:lineRule="auto"/>
              <w:jc w:val="left"/>
              <w:rPr>
                <w:rFonts w:ascii="宋体" w:hAnsi="宋体" w:cs="宋体"/>
                <w:b/>
                <w:bCs/>
                <w:szCs w:val="21"/>
                <w:highlight w:val="none"/>
              </w:rPr>
            </w:pPr>
            <w:r>
              <w:rPr>
                <w:rFonts w:hint="eastAsia" w:ascii="宋体" w:hAnsi="宋体" w:cs="宋体"/>
                <w:b/>
                <w:bCs/>
                <w:szCs w:val="21"/>
                <w:highlight w:val="none"/>
              </w:rPr>
              <w:t>业绩基准测算依据：产品重点投资于同业存单</w:t>
            </w:r>
            <w:r>
              <w:rPr>
                <w:rFonts w:hint="eastAsia" w:ascii="宋体" w:hAnsi="宋体" w:cs="宋体"/>
                <w:b/>
                <w:bCs/>
                <w:szCs w:val="21"/>
                <w:highlight w:val="none"/>
                <w:lang w:eastAsia="zh-CN"/>
              </w:rPr>
              <w:t>、</w:t>
            </w:r>
            <w:r>
              <w:rPr>
                <w:rFonts w:hint="eastAsia" w:ascii="宋体" w:hAnsi="宋体" w:cs="宋体"/>
                <w:b/>
                <w:bCs/>
                <w:szCs w:val="21"/>
                <w:highlight w:val="none"/>
              </w:rPr>
              <w:t>信用债等资产，根据当前市场环境，拟投资产收益率在</w:t>
            </w:r>
            <w:r>
              <w:rPr>
                <w:rFonts w:hint="eastAsia" w:ascii="宋体" w:hAnsi="宋体" w:cs="宋体"/>
                <w:b/>
                <w:bCs/>
                <w:szCs w:val="21"/>
                <w:highlight w:val="none"/>
                <w:lang w:val="en-US" w:eastAsia="zh-CN"/>
              </w:rPr>
              <w:t>1.5</w:t>
            </w:r>
            <w:r>
              <w:rPr>
                <w:rFonts w:hint="eastAsia" w:ascii="宋体" w:hAnsi="宋体" w:cs="宋体"/>
                <w:b/>
                <w:bCs/>
                <w:szCs w:val="21"/>
                <w:highlight w:val="none"/>
              </w:rPr>
              <w:t>%</w:t>
            </w:r>
            <w:r>
              <w:rPr>
                <w:rFonts w:hint="eastAsia" w:ascii="宋体" w:hAnsi="宋体" w:cs="宋体"/>
                <w:b/>
                <w:bCs/>
                <w:szCs w:val="21"/>
                <w:highlight w:val="none"/>
                <w:lang w:val="en-US" w:eastAsia="zh-CN"/>
              </w:rPr>
              <w:t>-3.5%</w:t>
            </w:r>
            <w:r>
              <w:rPr>
                <w:rFonts w:hint="eastAsia" w:ascii="宋体" w:hAnsi="宋体" w:cs="宋体"/>
                <w:b/>
                <w:bCs/>
                <w:szCs w:val="21"/>
                <w:highlight w:val="none"/>
              </w:rPr>
              <w:t>左右，同时根据流动性管理需要和监管要求配置不低于5%的高流动性资产。</w:t>
            </w:r>
          </w:p>
          <w:p>
            <w:pPr>
              <w:widowControl/>
              <w:spacing w:line="360" w:lineRule="auto"/>
              <w:jc w:val="left"/>
              <w:rPr>
                <w:rFonts w:ascii="宋体" w:hAnsi="宋体" w:cs="宋体"/>
                <w:szCs w:val="21"/>
                <w:highlight w:val="none"/>
              </w:rPr>
            </w:pPr>
            <w:r>
              <w:rPr>
                <w:rFonts w:hint="eastAsia" w:ascii="宋体" w:hAnsi="宋体" w:cs="宋体"/>
                <w:szCs w:val="21"/>
                <w:highlight w:val="none"/>
              </w:rPr>
              <w:t>管理人有权根据市场情况及</w:t>
            </w:r>
            <w:r>
              <w:rPr>
                <w:rFonts w:hint="eastAsia" w:ascii="宋体" w:hAnsi="宋体" w:cs="宋体"/>
                <w:szCs w:val="21"/>
                <w:highlight w:val="none"/>
                <w:lang w:val="en-US" w:eastAsia="zh-CN"/>
              </w:rPr>
              <w:t>理财计划</w:t>
            </w:r>
            <w:r>
              <w:rPr>
                <w:rFonts w:hint="eastAsia" w:ascii="宋体" w:hAnsi="宋体" w:cs="宋体"/>
                <w:szCs w:val="21"/>
                <w:highlight w:val="none"/>
              </w:rPr>
              <w:t>运作情况调整业绩基准，并至少于新业绩基准启用前</w:t>
            </w:r>
            <w:r>
              <w:rPr>
                <w:rFonts w:hint="eastAsia" w:ascii="宋体" w:hAnsi="宋体" w:cs="宋体"/>
                <w:kern w:val="0"/>
                <w:highlight w:val="none"/>
              </w:rPr>
              <w:t>〖2〗</w:t>
            </w:r>
            <w:r>
              <w:rPr>
                <w:rFonts w:hint="eastAsia" w:ascii="宋体" w:hAnsi="宋体" w:cs="宋体"/>
                <w:szCs w:val="21"/>
                <w:highlight w:val="none"/>
              </w:rPr>
              <w:t>个工作日公告。</w:t>
            </w:r>
          </w:p>
          <w:p>
            <w:pPr>
              <w:widowControl/>
              <w:spacing w:line="360" w:lineRule="auto"/>
              <w:jc w:val="left"/>
              <w:rPr>
                <w:rFonts w:ascii="宋体" w:hAnsi="宋体" w:cs="宋体"/>
                <w:b/>
                <w:szCs w:val="21"/>
                <w:highlight w:val="none"/>
              </w:rPr>
            </w:pPr>
            <w:r>
              <w:rPr>
                <w:rFonts w:hint="eastAsia" w:ascii="宋体" w:hAnsi="宋体" w:cs="宋体"/>
                <w:b/>
                <w:szCs w:val="21"/>
                <w:highlight w:val="none"/>
              </w:rPr>
              <w:t>本理财计划为净值型理财产品，其业绩表现将随市场波动具有不确定性。本公司提醒投资者关注，业绩比较基准</w:t>
            </w:r>
            <w:r>
              <w:rPr>
                <w:rFonts w:hint="eastAsia" w:ascii="宋体" w:hAnsi="宋体" w:cs="宋体"/>
                <w:b/>
                <w:sz w:val="21"/>
                <w:szCs w:val="21"/>
                <w:highlight w:val="none"/>
                <w:lang w:eastAsia="zh-CN"/>
              </w:rPr>
              <w:t>不是预期收益率，</w:t>
            </w:r>
            <w:r>
              <w:rPr>
                <w:rFonts w:hint="eastAsia" w:ascii="宋体" w:hAnsi="宋体" w:cs="宋体"/>
                <w:b/>
                <w:szCs w:val="21"/>
                <w:highlight w:val="none"/>
              </w:rPr>
              <w:t>并不代表</w:t>
            </w:r>
            <w:r>
              <w:rPr>
                <w:rFonts w:hint="eastAsia" w:ascii="宋体" w:hAnsi="宋体" w:cs="宋体"/>
                <w:b/>
                <w:sz w:val="21"/>
                <w:szCs w:val="21"/>
                <w:highlight w:val="none"/>
              </w:rPr>
              <w:t>理财计划的未来表现和实际收益，也不构成对理财计划收益的承诺</w:t>
            </w:r>
            <w:r>
              <w:rPr>
                <w:rFonts w:hint="eastAsia" w:ascii="宋体" w:hAnsi="宋体" w:cs="宋体"/>
                <w:b/>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产品费用</w:t>
            </w:r>
          </w:p>
        </w:tc>
        <w:tc>
          <w:tcPr>
            <w:tcW w:w="7281" w:type="dxa"/>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1.销售服务费：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Cs w:val="21"/>
                <w:highlight w:val="none"/>
              </w:rPr>
              <w:t>收取年化</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szCs w:val="21"/>
                <w:highlight w:val="none"/>
              </w:rPr>
              <w:t>%〗</w:t>
            </w:r>
            <w:r>
              <w:rPr>
                <w:rFonts w:hint="eastAsia" w:ascii="宋体" w:hAnsi="宋体" w:cs="宋体"/>
                <w:color w:val="000000"/>
                <w:szCs w:val="21"/>
                <w:highlight w:val="none"/>
              </w:rPr>
              <w:t>的销售服务费</w:t>
            </w:r>
            <w:r>
              <w:rPr>
                <w:rFonts w:hint="eastAsia" w:ascii="宋体" w:hAnsi="宋体" w:cs="宋体"/>
                <w:color w:val="000000"/>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Cs w:val="21"/>
                <w:highlight w:val="none"/>
              </w:rPr>
              <w:t>收取年化</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szCs w:val="21"/>
                <w:highlight w:val="none"/>
              </w:rPr>
              <w:t>%〗</w:t>
            </w:r>
            <w:r>
              <w:rPr>
                <w:rFonts w:hint="eastAsia" w:ascii="宋体" w:hAnsi="宋体" w:cs="宋体"/>
                <w:color w:val="000000"/>
                <w:szCs w:val="21"/>
                <w:highlight w:val="none"/>
              </w:rPr>
              <w:t>的销售服务费</w:t>
            </w:r>
            <w:r>
              <w:rPr>
                <w:rFonts w:hint="eastAsia" w:ascii="宋体" w:hAnsi="宋体" w:cs="宋体"/>
                <w:color w:val="000000"/>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Cs w:val="21"/>
                <w:highlight w:val="none"/>
              </w:rPr>
              <w:t>收取年化</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szCs w:val="21"/>
                <w:highlight w:val="none"/>
              </w:rPr>
              <w:t>%〗</w:t>
            </w:r>
            <w:r>
              <w:rPr>
                <w:rFonts w:hint="eastAsia" w:ascii="宋体" w:hAnsi="宋体" w:cs="宋体"/>
                <w:color w:val="000000"/>
                <w:szCs w:val="21"/>
                <w:highlight w:val="none"/>
              </w:rPr>
              <w:t>的销售服务费</w:t>
            </w:r>
            <w:r>
              <w:rPr>
                <w:rFonts w:hint="eastAsia" w:ascii="宋体" w:hAnsi="宋体" w:cs="宋体"/>
                <w:color w:val="000000"/>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D</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Cs w:val="21"/>
                <w:highlight w:val="none"/>
              </w:rPr>
              <w:t>收取年化</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szCs w:val="21"/>
                <w:highlight w:val="none"/>
              </w:rPr>
              <w:t>%〗</w:t>
            </w:r>
            <w:r>
              <w:rPr>
                <w:rFonts w:hint="eastAsia" w:ascii="宋体" w:hAnsi="宋体" w:cs="宋体"/>
                <w:color w:val="000000"/>
                <w:szCs w:val="21"/>
                <w:highlight w:val="none"/>
              </w:rPr>
              <w:t>的销售服务费</w:t>
            </w:r>
            <w:r>
              <w:rPr>
                <w:rFonts w:hint="eastAsia" w:ascii="宋体" w:hAnsi="宋体" w:cs="宋体"/>
                <w:color w:val="000000"/>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E</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Cs w:val="21"/>
                <w:highlight w:val="none"/>
              </w:rPr>
              <w:t>收取年化</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szCs w:val="21"/>
                <w:highlight w:val="none"/>
              </w:rPr>
              <w:t>%〗</w:t>
            </w:r>
            <w:r>
              <w:rPr>
                <w:rFonts w:hint="eastAsia" w:ascii="宋体" w:hAnsi="宋体" w:cs="宋体"/>
                <w:color w:val="000000"/>
                <w:szCs w:val="21"/>
                <w:highlight w:val="none"/>
              </w:rPr>
              <w:t>的销售服务费</w:t>
            </w:r>
            <w:r>
              <w:rPr>
                <w:rFonts w:hint="eastAsia" w:ascii="宋体" w:hAnsi="宋体" w:cs="宋体"/>
                <w:color w:val="000000"/>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F</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Cs w:val="21"/>
                <w:highlight w:val="none"/>
              </w:rPr>
              <w:t>收取年化</w:t>
            </w:r>
            <w:r>
              <w:rPr>
                <w:rFonts w:hint="eastAsia" w:ascii="宋体" w:hAnsi="宋体" w:cs="宋体"/>
                <w:szCs w:val="21"/>
                <w:highlight w:val="none"/>
              </w:rPr>
              <w:t>〖</w:t>
            </w:r>
            <w:r>
              <w:rPr>
                <w:rFonts w:hint="eastAsia" w:ascii="宋体" w:hAnsi="宋体" w:cs="宋体"/>
                <w:szCs w:val="21"/>
                <w:highlight w:val="none"/>
                <w:lang w:val="en-US" w:eastAsia="zh-CN"/>
              </w:rPr>
              <w:t>0.05</w:t>
            </w:r>
            <w:r>
              <w:rPr>
                <w:rFonts w:hint="eastAsia" w:ascii="宋体" w:hAnsi="宋体" w:cs="宋体"/>
                <w:szCs w:val="21"/>
                <w:highlight w:val="none"/>
              </w:rPr>
              <w:t>%〗</w:t>
            </w:r>
            <w:r>
              <w:rPr>
                <w:rFonts w:hint="eastAsia" w:ascii="宋体" w:hAnsi="宋体" w:cs="宋体"/>
                <w:color w:val="000000"/>
                <w:szCs w:val="21"/>
                <w:highlight w:val="none"/>
              </w:rPr>
              <w:t>的销售服务费</w:t>
            </w:r>
            <w:r>
              <w:rPr>
                <w:rFonts w:hint="eastAsia" w:ascii="宋体" w:hAnsi="宋体" w:cs="宋体"/>
                <w:color w:val="000000"/>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G</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Cs w:val="21"/>
                <w:highlight w:val="none"/>
              </w:rPr>
              <w:t>收取年化</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szCs w:val="21"/>
                <w:highlight w:val="none"/>
              </w:rPr>
              <w:t>%〗</w:t>
            </w:r>
            <w:r>
              <w:rPr>
                <w:rFonts w:hint="eastAsia" w:ascii="宋体" w:hAnsi="宋体" w:cs="宋体"/>
                <w:color w:val="000000"/>
                <w:szCs w:val="21"/>
                <w:highlight w:val="none"/>
              </w:rPr>
              <w:t>的销售服务费</w:t>
            </w:r>
            <w:r>
              <w:rPr>
                <w:rFonts w:hint="eastAsia" w:ascii="宋体" w:hAnsi="宋体" w:cs="宋体"/>
                <w:color w:val="000000"/>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H</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Cs w:val="21"/>
                <w:highlight w:val="none"/>
              </w:rPr>
              <w:t>收取年化</w:t>
            </w:r>
            <w:r>
              <w:rPr>
                <w:rFonts w:hint="eastAsia" w:ascii="宋体" w:hAnsi="宋体" w:cs="宋体"/>
                <w:szCs w:val="21"/>
                <w:highlight w:val="none"/>
              </w:rPr>
              <w:t>〖</w:t>
            </w:r>
            <w:r>
              <w:rPr>
                <w:rFonts w:hint="eastAsia" w:ascii="宋体" w:hAnsi="宋体" w:cs="宋体"/>
                <w:szCs w:val="21"/>
                <w:highlight w:val="none"/>
                <w:lang w:val="en-US" w:eastAsia="zh-CN"/>
              </w:rPr>
              <w:t>0.05</w:t>
            </w:r>
            <w:r>
              <w:rPr>
                <w:rFonts w:hint="eastAsia" w:ascii="宋体" w:hAnsi="宋体" w:cs="宋体"/>
                <w:szCs w:val="21"/>
                <w:highlight w:val="none"/>
              </w:rPr>
              <w:t>%〗</w:t>
            </w:r>
            <w:r>
              <w:rPr>
                <w:rFonts w:hint="eastAsia" w:ascii="宋体" w:hAnsi="宋体" w:cs="宋体"/>
                <w:color w:val="000000"/>
                <w:szCs w:val="21"/>
                <w:highlight w:val="none"/>
              </w:rPr>
              <w:t>的销售服务费</w:t>
            </w:r>
            <w:r>
              <w:rPr>
                <w:rFonts w:hint="eastAsia" w:ascii="宋体" w:hAnsi="宋体" w:cs="宋体"/>
                <w:color w:val="000000"/>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Y</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Cs w:val="21"/>
                <w:highlight w:val="none"/>
              </w:rPr>
              <w:t>收取年化</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szCs w:val="21"/>
                <w:highlight w:val="none"/>
              </w:rPr>
              <w:t>%〗</w:t>
            </w:r>
            <w:r>
              <w:rPr>
                <w:rFonts w:hint="eastAsia" w:ascii="宋体" w:hAnsi="宋体" w:cs="宋体"/>
                <w:color w:val="000000"/>
                <w:szCs w:val="21"/>
                <w:highlight w:val="none"/>
              </w:rPr>
              <w:t>的销售服务费</w:t>
            </w:r>
            <w:r>
              <w:rPr>
                <w:rFonts w:hint="eastAsia" w:ascii="宋体" w:hAnsi="宋体" w:cs="宋体"/>
                <w:color w:val="000000"/>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Z</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Cs w:val="21"/>
                <w:highlight w:val="none"/>
              </w:rPr>
              <w:t>收取年化</w:t>
            </w:r>
            <w:r>
              <w:rPr>
                <w:rFonts w:hint="eastAsia" w:ascii="宋体" w:hAnsi="宋体" w:cs="宋体"/>
                <w:szCs w:val="21"/>
                <w:highlight w:val="none"/>
              </w:rPr>
              <w:t>〖</w:t>
            </w:r>
            <w:r>
              <w:rPr>
                <w:rFonts w:hint="eastAsia" w:ascii="宋体" w:hAnsi="宋体" w:cs="宋体"/>
                <w:szCs w:val="21"/>
                <w:highlight w:val="none"/>
                <w:lang w:val="en-US" w:eastAsia="zh-CN"/>
              </w:rPr>
              <w:t>0.10</w:t>
            </w:r>
            <w:r>
              <w:rPr>
                <w:rFonts w:hint="eastAsia" w:ascii="宋体" w:hAnsi="宋体" w:cs="宋体"/>
                <w:szCs w:val="21"/>
                <w:highlight w:val="none"/>
              </w:rPr>
              <w:t>%〗</w:t>
            </w:r>
            <w:r>
              <w:rPr>
                <w:rFonts w:hint="eastAsia" w:ascii="宋体" w:hAnsi="宋体" w:cs="宋体"/>
                <w:color w:val="000000"/>
                <w:szCs w:val="21"/>
                <w:highlight w:val="none"/>
              </w:rPr>
              <w:t>的销售服务费。</w:t>
            </w:r>
          </w:p>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2.托管费：收取年化</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szCs w:val="21"/>
                <w:highlight w:val="none"/>
              </w:rPr>
              <w:t>%〗</w:t>
            </w:r>
            <w:r>
              <w:rPr>
                <w:rFonts w:hint="eastAsia" w:ascii="宋体" w:hAnsi="宋体" w:cs="宋体"/>
                <w:color w:val="000000"/>
                <w:szCs w:val="21"/>
                <w:highlight w:val="none"/>
              </w:rPr>
              <w:t>的托管费。</w:t>
            </w:r>
          </w:p>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3.固定管理费：</w:t>
            </w:r>
            <w:r>
              <w:rPr>
                <w:rFonts w:hint="eastAsia" w:ascii="宋体" w:hAnsi="宋体" w:cs="宋体"/>
                <w:sz w:val="21"/>
                <w:szCs w:val="21"/>
                <w:highlight w:val="none"/>
              </w:rPr>
              <w:t>〖</w:t>
            </w:r>
            <w:r>
              <w:rPr>
                <w:rFonts w:hint="eastAsia" w:ascii="宋体" w:hAnsi="宋体" w:cs="宋体"/>
                <w:bCs/>
                <w:color w:val="auto"/>
                <w:sz w:val="21"/>
                <w:szCs w:val="21"/>
                <w:highlight w:val="none"/>
                <w:lang w:val="en-US" w:eastAsia="zh-CN"/>
              </w:rPr>
              <w:t>A份额</w:t>
            </w:r>
            <w:r>
              <w:rPr>
                <w:rFonts w:hint="eastAsia" w:ascii="宋体" w:hAnsi="宋体" w:cs="宋体"/>
                <w:sz w:val="21"/>
                <w:szCs w:val="21"/>
                <w:highlight w:val="none"/>
              </w:rPr>
              <w:t>〗</w:t>
            </w:r>
            <w:r>
              <w:rPr>
                <w:rFonts w:hint="eastAsia" w:ascii="宋体" w:hAnsi="宋体" w:cs="宋体"/>
                <w:color w:val="000000"/>
                <w:szCs w:val="21"/>
                <w:highlight w:val="none"/>
              </w:rPr>
              <w:t>收取年化</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szCs w:val="21"/>
                <w:highlight w:val="none"/>
              </w:rPr>
              <w:t>%〗</w:t>
            </w:r>
            <w:r>
              <w:rPr>
                <w:rFonts w:hint="eastAsia" w:ascii="宋体" w:hAnsi="宋体" w:cs="宋体"/>
                <w:color w:val="000000"/>
                <w:szCs w:val="21"/>
                <w:highlight w:val="none"/>
              </w:rPr>
              <w:t>的固定管理费</w:t>
            </w:r>
            <w:r>
              <w:rPr>
                <w:rFonts w:hint="eastAsia" w:ascii="宋体" w:hAnsi="宋体" w:cs="宋体"/>
                <w:color w:val="000000"/>
                <w:szCs w:val="21"/>
                <w:highlight w:val="none"/>
                <w:lang w:eastAsia="zh-CN"/>
              </w:rPr>
              <w:t>，</w:t>
            </w:r>
            <w:r>
              <w:rPr>
                <w:rFonts w:hint="eastAsia" w:ascii="宋体" w:hAnsi="宋体" w:cs="宋体"/>
                <w:sz w:val="21"/>
                <w:szCs w:val="21"/>
                <w:highlight w:val="none"/>
              </w:rPr>
              <w:t>〖</w:t>
            </w:r>
            <w:r>
              <w:rPr>
                <w:rFonts w:hint="eastAsia" w:ascii="宋体" w:hAnsi="宋体" w:cs="宋体"/>
                <w:bCs/>
                <w:color w:val="auto"/>
                <w:sz w:val="21"/>
                <w:szCs w:val="21"/>
                <w:highlight w:val="none"/>
                <w:lang w:val="en-US" w:eastAsia="zh-CN"/>
              </w:rPr>
              <w:t>B份额</w:t>
            </w:r>
            <w:r>
              <w:rPr>
                <w:rFonts w:hint="eastAsia" w:ascii="宋体" w:hAnsi="宋体" w:cs="宋体"/>
                <w:sz w:val="21"/>
                <w:szCs w:val="21"/>
                <w:highlight w:val="none"/>
              </w:rPr>
              <w:t>〗</w:t>
            </w:r>
            <w:r>
              <w:rPr>
                <w:rFonts w:hint="eastAsia" w:ascii="宋体" w:hAnsi="宋体" w:cs="宋体"/>
                <w:color w:val="000000"/>
                <w:szCs w:val="21"/>
                <w:highlight w:val="none"/>
              </w:rPr>
              <w:t>收取年化</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szCs w:val="21"/>
                <w:highlight w:val="none"/>
              </w:rPr>
              <w:t>%〗</w:t>
            </w:r>
            <w:r>
              <w:rPr>
                <w:rFonts w:hint="eastAsia" w:ascii="宋体" w:hAnsi="宋体" w:cs="宋体"/>
                <w:color w:val="000000"/>
                <w:szCs w:val="21"/>
                <w:highlight w:val="none"/>
              </w:rPr>
              <w:t>的固定管理费</w:t>
            </w:r>
            <w:r>
              <w:rPr>
                <w:rFonts w:hint="eastAsia" w:ascii="宋体" w:hAnsi="宋体" w:cs="宋体"/>
                <w:color w:val="000000"/>
                <w:szCs w:val="21"/>
                <w:highlight w:val="none"/>
                <w:lang w:eastAsia="zh-CN"/>
              </w:rPr>
              <w:t>，</w:t>
            </w:r>
            <w:r>
              <w:rPr>
                <w:rFonts w:hint="eastAsia" w:ascii="宋体" w:hAnsi="宋体" w:cs="宋体"/>
                <w:sz w:val="21"/>
                <w:szCs w:val="21"/>
                <w:highlight w:val="none"/>
              </w:rPr>
              <w:t>〖</w:t>
            </w:r>
            <w:r>
              <w:rPr>
                <w:rFonts w:hint="eastAsia" w:ascii="宋体" w:hAnsi="宋体" w:cs="宋体"/>
                <w:bCs/>
                <w:color w:val="auto"/>
                <w:sz w:val="21"/>
                <w:szCs w:val="21"/>
                <w:highlight w:val="none"/>
                <w:lang w:val="en-US" w:eastAsia="zh-CN"/>
              </w:rPr>
              <w:t>C份额</w:t>
            </w:r>
            <w:r>
              <w:rPr>
                <w:rFonts w:hint="eastAsia" w:ascii="宋体" w:hAnsi="宋体" w:cs="宋体"/>
                <w:sz w:val="21"/>
                <w:szCs w:val="21"/>
                <w:highlight w:val="none"/>
              </w:rPr>
              <w:t>〗</w:t>
            </w:r>
            <w:r>
              <w:rPr>
                <w:rFonts w:hint="eastAsia" w:ascii="宋体" w:hAnsi="宋体" w:cs="宋体"/>
                <w:color w:val="000000"/>
                <w:szCs w:val="21"/>
                <w:highlight w:val="none"/>
              </w:rPr>
              <w:t>收取年化</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szCs w:val="21"/>
                <w:highlight w:val="none"/>
              </w:rPr>
              <w:t>%〗</w:t>
            </w:r>
            <w:r>
              <w:rPr>
                <w:rFonts w:hint="eastAsia" w:ascii="宋体" w:hAnsi="宋体" w:cs="宋体"/>
                <w:color w:val="000000"/>
                <w:szCs w:val="21"/>
                <w:highlight w:val="none"/>
              </w:rPr>
              <w:t>的固定管理费</w:t>
            </w:r>
            <w:r>
              <w:rPr>
                <w:rFonts w:hint="eastAsia" w:ascii="宋体" w:hAnsi="宋体" w:cs="宋体"/>
                <w:color w:val="000000"/>
                <w:szCs w:val="21"/>
                <w:highlight w:val="none"/>
                <w:lang w:eastAsia="zh-CN"/>
              </w:rPr>
              <w:t>，</w:t>
            </w:r>
            <w:r>
              <w:rPr>
                <w:rFonts w:hint="eastAsia" w:ascii="宋体" w:hAnsi="宋体" w:cs="宋体"/>
                <w:sz w:val="21"/>
                <w:szCs w:val="21"/>
                <w:highlight w:val="none"/>
              </w:rPr>
              <w:t>〖</w:t>
            </w:r>
            <w:r>
              <w:rPr>
                <w:rFonts w:hint="eastAsia" w:ascii="宋体" w:hAnsi="宋体" w:cs="宋体"/>
                <w:bCs/>
                <w:color w:val="auto"/>
                <w:sz w:val="21"/>
                <w:szCs w:val="21"/>
                <w:highlight w:val="none"/>
                <w:lang w:val="en-US" w:eastAsia="zh-CN"/>
              </w:rPr>
              <w:t>D份额</w:t>
            </w:r>
            <w:r>
              <w:rPr>
                <w:rFonts w:hint="eastAsia" w:ascii="宋体" w:hAnsi="宋体" w:cs="宋体"/>
                <w:sz w:val="21"/>
                <w:szCs w:val="21"/>
                <w:highlight w:val="none"/>
              </w:rPr>
              <w:t>〗</w:t>
            </w:r>
            <w:r>
              <w:rPr>
                <w:rFonts w:hint="eastAsia" w:ascii="宋体" w:hAnsi="宋体" w:cs="宋体"/>
                <w:color w:val="000000"/>
                <w:szCs w:val="21"/>
                <w:highlight w:val="none"/>
              </w:rPr>
              <w:t>收取年化</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szCs w:val="21"/>
                <w:highlight w:val="none"/>
              </w:rPr>
              <w:t>%〗</w:t>
            </w:r>
            <w:r>
              <w:rPr>
                <w:rFonts w:hint="eastAsia" w:ascii="宋体" w:hAnsi="宋体" w:cs="宋体"/>
                <w:color w:val="000000"/>
                <w:szCs w:val="21"/>
                <w:highlight w:val="none"/>
              </w:rPr>
              <w:t>的固定管理费</w:t>
            </w:r>
            <w:r>
              <w:rPr>
                <w:rFonts w:hint="eastAsia" w:ascii="宋体" w:hAnsi="宋体" w:cs="宋体"/>
                <w:color w:val="000000"/>
                <w:szCs w:val="21"/>
                <w:highlight w:val="none"/>
                <w:lang w:eastAsia="zh-CN"/>
              </w:rPr>
              <w:t>，</w:t>
            </w:r>
            <w:r>
              <w:rPr>
                <w:rFonts w:hint="eastAsia" w:ascii="宋体" w:hAnsi="宋体" w:cs="宋体"/>
                <w:sz w:val="21"/>
                <w:szCs w:val="21"/>
                <w:highlight w:val="none"/>
              </w:rPr>
              <w:t>〖</w:t>
            </w:r>
            <w:r>
              <w:rPr>
                <w:rFonts w:hint="eastAsia" w:ascii="宋体" w:hAnsi="宋体" w:cs="宋体"/>
                <w:bCs/>
                <w:color w:val="auto"/>
                <w:sz w:val="21"/>
                <w:szCs w:val="21"/>
                <w:highlight w:val="none"/>
                <w:lang w:val="en-US" w:eastAsia="zh-CN"/>
              </w:rPr>
              <w:t>E份额</w:t>
            </w:r>
            <w:r>
              <w:rPr>
                <w:rFonts w:hint="eastAsia" w:ascii="宋体" w:hAnsi="宋体" w:cs="宋体"/>
                <w:sz w:val="21"/>
                <w:szCs w:val="21"/>
                <w:highlight w:val="none"/>
              </w:rPr>
              <w:t>〗</w:t>
            </w:r>
            <w:r>
              <w:rPr>
                <w:rFonts w:hint="eastAsia" w:ascii="宋体" w:hAnsi="宋体" w:cs="宋体"/>
                <w:color w:val="000000"/>
                <w:szCs w:val="21"/>
                <w:highlight w:val="none"/>
              </w:rPr>
              <w:t>收取年化</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szCs w:val="21"/>
                <w:highlight w:val="none"/>
              </w:rPr>
              <w:t>%〗</w:t>
            </w:r>
            <w:r>
              <w:rPr>
                <w:rFonts w:hint="eastAsia" w:ascii="宋体" w:hAnsi="宋体" w:cs="宋体"/>
                <w:color w:val="000000"/>
                <w:szCs w:val="21"/>
                <w:highlight w:val="none"/>
              </w:rPr>
              <w:t>的固定管理费</w:t>
            </w:r>
            <w:r>
              <w:rPr>
                <w:rFonts w:hint="eastAsia" w:ascii="宋体" w:hAnsi="宋体" w:cs="宋体"/>
                <w:color w:val="000000"/>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F</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Cs w:val="21"/>
                <w:highlight w:val="none"/>
              </w:rPr>
              <w:t>收取年化</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szCs w:val="21"/>
                <w:highlight w:val="none"/>
              </w:rPr>
              <w:t>%〗</w:t>
            </w:r>
            <w:r>
              <w:rPr>
                <w:rFonts w:hint="eastAsia" w:ascii="宋体" w:hAnsi="宋体" w:cs="宋体"/>
                <w:color w:val="000000"/>
                <w:szCs w:val="21"/>
                <w:highlight w:val="none"/>
              </w:rPr>
              <w:t>的固定管理费</w:t>
            </w:r>
            <w:r>
              <w:rPr>
                <w:rFonts w:hint="eastAsia" w:ascii="宋体" w:hAnsi="宋体" w:cs="宋体"/>
                <w:color w:val="000000"/>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G</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Cs w:val="21"/>
                <w:highlight w:val="none"/>
              </w:rPr>
              <w:t>收取年化</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szCs w:val="21"/>
                <w:highlight w:val="none"/>
              </w:rPr>
              <w:t>%〗</w:t>
            </w:r>
            <w:r>
              <w:rPr>
                <w:rFonts w:hint="eastAsia" w:ascii="宋体" w:hAnsi="宋体" w:cs="宋体"/>
                <w:color w:val="000000"/>
                <w:szCs w:val="21"/>
                <w:highlight w:val="none"/>
              </w:rPr>
              <w:t>的固定管理费</w:t>
            </w:r>
            <w:r>
              <w:rPr>
                <w:rFonts w:hint="eastAsia" w:ascii="宋体" w:hAnsi="宋体" w:cs="宋体"/>
                <w:color w:val="000000"/>
                <w:szCs w:val="21"/>
                <w:highlight w:val="none"/>
                <w:lang w:eastAsia="zh-CN"/>
              </w:rPr>
              <w:t>，</w:t>
            </w:r>
            <w:r>
              <w:rPr>
                <w:rFonts w:hint="eastAsia" w:ascii="宋体" w:hAnsi="宋体" w:cs="宋体"/>
                <w:sz w:val="21"/>
                <w:szCs w:val="21"/>
                <w:highlight w:val="none"/>
              </w:rPr>
              <w:t>〖</w:t>
            </w:r>
            <w:r>
              <w:rPr>
                <w:rFonts w:hint="eastAsia" w:ascii="宋体" w:hAnsi="宋体" w:cs="宋体"/>
                <w:bCs/>
                <w:color w:val="auto"/>
                <w:sz w:val="21"/>
                <w:szCs w:val="21"/>
                <w:highlight w:val="none"/>
                <w:lang w:val="en-US" w:eastAsia="zh-CN"/>
              </w:rPr>
              <w:t>H份额</w:t>
            </w:r>
            <w:r>
              <w:rPr>
                <w:rFonts w:hint="eastAsia" w:ascii="宋体" w:hAnsi="宋体" w:cs="宋体"/>
                <w:sz w:val="21"/>
                <w:szCs w:val="21"/>
                <w:highlight w:val="none"/>
              </w:rPr>
              <w:t>〗</w:t>
            </w:r>
            <w:r>
              <w:rPr>
                <w:rFonts w:hint="eastAsia" w:ascii="宋体" w:hAnsi="宋体" w:cs="宋体"/>
                <w:color w:val="000000"/>
                <w:szCs w:val="21"/>
                <w:highlight w:val="none"/>
              </w:rPr>
              <w:t>收取年化</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szCs w:val="21"/>
                <w:highlight w:val="none"/>
              </w:rPr>
              <w:t>%〗</w:t>
            </w:r>
            <w:r>
              <w:rPr>
                <w:rFonts w:hint="eastAsia" w:ascii="宋体" w:hAnsi="宋体" w:cs="宋体"/>
                <w:color w:val="000000"/>
                <w:szCs w:val="21"/>
                <w:highlight w:val="none"/>
              </w:rPr>
              <w:t>的固定管理费</w:t>
            </w:r>
            <w:r>
              <w:rPr>
                <w:rFonts w:hint="eastAsia" w:ascii="宋体" w:hAnsi="宋体" w:cs="宋体"/>
                <w:color w:val="000000"/>
                <w:szCs w:val="21"/>
                <w:highlight w:val="none"/>
                <w:lang w:eastAsia="zh-CN"/>
              </w:rPr>
              <w:t>，</w:t>
            </w:r>
            <w:r>
              <w:rPr>
                <w:rFonts w:hint="eastAsia" w:ascii="宋体" w:hAnsi="宋体" w:cs="宋体"/>
                <w:sz w:val="21"/>
                <w:szCs w:val="21"/>
                <w:highlight w:val="none"/>
              </w:rPr>
              <w:t>〖</w:t>
            </w:r>
            <w:r>
              <w:rPr>
                <w:rFonts w:hint="eastAsia" w:ascii="宋体" w:hAnsi="宋体" w:cs="宋体"/>
                <w:bCs/>
                <w:color w:val="auto"/>
                <w:sz w:val="21"/>
                <w:szCs w:val="21"/>
                <w:highlight w:val="none"/>
                <w:lang w:val="en-US" w:eastAsia="zh-CN"/>
              </w:rPr>
              <w:t>Y份额</w:t>
            </w:r>
            <w:r>
              <w:rPr>
                <w:rFonts w:hint="eastAsia" w:ascii="宋体" w:hAnsi="宋体" w:cs="宋体"/>
                <w:sz w:val="21"/>
                <w:szCs w:val="21"/>
                <w:highlight w:val="none"/>
              </w:rPr>
              <w:t>〗</w:t>
            </w:r>
            <w:r>
              <w:rPr>
                <w:rFonts w:hint="eastAsia" w:ascii="宋体" w:hAnsi="宋体" w:cs="宋体"/>
                <w:color w:val="000000"/>
                <w:szCs w:val="21"/>
                <w:highlight w:val="none"/>
              </w:rPr>
              <w:t>收取年化</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szCs w:val="21"/>
                <w:highlight w:val="none"/>
              </w:rPr>
              <w:t>%〗</w:t>
            </w:r>
            <w:r>
              <w:rPr>
                <w:rFonts w:hint="eastAsia" w:ascii="宋体" w:hAnsi="宋体" w:cs="宋体"/>
                <w:color w:val="000000"/>
                <w:szCs w:val="21"/>
                <w:highlight w:val="none"/>
              </w:rPr>
              <w:t>的固定管理费</w:t>
            </w:r>
            <w:r>
              <w:rPr>
                <w:rFonts w:hint="eastAsia" w:ascii="宋体" w:hAnsi="宋体" w:cs="宋体"/>
                <w:color w:val="000000"/>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Z</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Cs w:val="21"/>
                <w:highlight w:val="none"/>
              </w:rPr>
              <w:t>收取年化</w:t>
            </w:r>
            <w:r>
              <w:rPr>
                <w:rFonts w:hint="eastAsia" w:ascii="宋体" w:hAnsi="宋体" w:cs="宋体"/>
                <w:szCs w:val="21"/>
                <w:highlight w:val="none"/>
              </w:rPr>
              <w:t>〖</w:t>
            </w:r>
            <w:r>
              <w:rPr>
                <w:rFonts w:hint="eastAsia" w:ascii="宋体" w:hAnsi="宋体" w:cs="宋体"/>
                <w:szCs w:val="21"/>
                <w:highlight w:val="none"/>
                <w:lang w:val="en-US" w:eastAsia="zh-CN"/>
              </w:rPr>
              <w:t>0.10</w:t>
            </w:r>
            <w:r>
              <w:rPr>
                <w:rFonts w:hint="eastAsia" w:ascii="宋体" w:hAnsi="宋体" w:cs="宋体"/>
                <w:szCs w:val="21"/>
                <w:highlight w:val="none"/>
              </w:rPr>
              <w:t>%〗</w:t>
            </w:r>
            <w:r>
              <w:rPr>
                <w:rFonts w:hint="eastAsia" w:ascii="宋体" w:hAnsi="宋体" w:cs="宋体"/>
                <w:color w:val="000000"/>
                <w:szCs w:val="21"/>
                <w:highlight w:val="none"/>
              </w:rPr>
              <w:t>的固定管理费。</w:t>
            </w:r>
          </w:p>
          <w:p>
            <w:pPr>
              <w:widowControl/>
              <w:spacing w:line="360" w:lineRule="auto"/>
              <w:contextualSpacing/>
              <w:rPr>
                <w:rFonts w:ascii="宋体" w:hAnsi="宋体" w:cs="宋体"/>
                <w:bCs/>
                <w:color w:val="FF0000"/>
                <w:szCs w:val="21"/>
                <w:highlight w:val="none"/>
              </w:rPr>
            </w:pPr>
            <w:r>
              <w:rPr>
                <w:rFonts w:hint="eastAsia" w:ascii="宋体" w:hAnsi="宋体" w:cs="宋体"/>
                <w:color w:val="000000"/>
                <w:szCs w:val="21"/>
                <w:highlight w:val="none"/>
              </w:rPr>
              <w:t>4.认购费：本理财计划免除认购费。</w:t>
            </w:r>
          </w:p>
          <w:p>
            <w:pPr>
              <w:widowControl/>
              <w:spacing w:line="360" w:lineRule="auto"/>
              <w:contextualSpacing/>
              <w:rPr>
                <w:rFonts w:ascii="宋体" w:hAnsi="宋体" w:cs="宋体"/>
                <w:bCs/>
                <w:szCs w:val="21"/>
                <w:highlight w:val="none"/>
              </w:rPr>
            </w:pPr>
            <w:r>
              <w:rPr>
                <w:rFonts w:hint="eastAsia" w:ascii="宋体" w:hAnsi="宋体" w:cs="宋体"/>
                <w:bCs/>
                <w:szCs w:val="21"/>
                <w:highlight w:val="none"/>
              </w:rPr>
              <w:t>5.申购费：</w:t>
            </w:r>
            <w:r>
              <w:rPr>
                <w:rFonts w:hint="eastAsia" w:ascii="宋体" w:hAnsi="宋体" w:cs="宋体"/>
                <w:color w:val="000000"/>
                <w:szCs w:val="21"/>
                <w:highlight w:val="none"/>
              </w:rPr>
              <w:t>本理财计划免除申购费。</w:t>
            </w:r>
          </w:p>
          <w:p>
            <w:pPr>
              <w:widowControl/>
              <w:spacing w:line="360" w:lineRule="auto"/>
              <w:contextualSpacing/>
              <w:rPr>
                <w:rFonts w:hint="eastAsia" w:ascii="宋体" w:hAnsi="宋体" w:cs="宋体"/>
                <w:bCs/>
                <w:szCs w:val="21"/>
                <w:highlight w:val="none"/>
              </w:rPr>
            </w:pPr>
            <w:r>
              <w:rPr>
                <w:rFonts w:hint="eastAsia" w:ascii="宋体" w:hAnsi="宋体" w:cs="宋体"/>
                <w:bCs/>
                <w:szCs w:val="21"/>
                <w:highlight w:val="none"/>
              </w:rPr>
              <w:t>6.赎回费：</w:t>
            </w:r>
            <w:r>
              <w:rPr>
                <w:rFonts w:hint="eastAsia" w:ascii="宋体" w:hAnsi="宋体" w:cs="宋体"/>
                <w:color w:val="000000"/>
                <w:szCs w:val="21"/>
                <w:highlight w:val="none"/>
              </w:rPr>
              <w:t>本理财计划免除赎回费。</w:t>
            </w:r>
          </w:p>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7.浮动管理费：本理财计划免除浮动管理费。</w:t>
            </w:r>
          </w:p>
          <w:p>
            <w:pPr>
              <w:widowControl/>
              <w:spacing w:line="360" w:lineRule="auto"/>
              <w:contextualSpacing/>
              <w:rPr>
                <w:rFonts w:ascii="宋体" w:hAnsi="宋体" w:cs="宋体"/>
                <w:color w:val="000000"/>
                <w:szCs w:val="21"/>
                <w:highlight w:val="none"/>
              </w:rPr>
            </w:pPr>
            <w:r>
              <w:rPr>
                <w:rFonts w:hint="eastAsia" w:ascii="宋体" w:hAnsi="宋体"/>
                <w:b/>
                <w:bCs/>
                <w:highlight w:val="none"/>
              </w:rPr>
              <w:t>管理人保留变更上述收取费率标准的权利，如有变更将提前</w:t>
            </w:r>
            <w:r>
              <w:rPr>
                <w:rFonts w:hint="eastAsia" w:ascii="宋体" w:hAnsi="宋体" w:cs="宋体"/>
                <w:b/>
                <w:bCs/>
                <w:kern w:val="0"/>
                <w:highlight w:val="none"/>
              </w:rPr>
              <w:t>〖</w:t>
            </w:r>
            <w:r>
              <w:rPr>
                <w:rFonts w:hint="eastAsia" w:ascii="宋体" w:hAnsi="宋体"/>
                <w:b/>
                <w:bCs/>
                <w:highlight w:val="none"/>
              </w:rPr>
              <w:t>2</w:t>
            </w:r>
            <w:r>
              <w:rPr>
                <w:rFonts w:hint="eastAsia" w:ascii="宋体" w:hAnsi="宋体" w:cs="宋体"/>
                <w:b/>
                <w:bCs/>
                <w:kern w:val="0"/>
                <w:highlight w:val="none"/>
              </w:rPr>
              <w:t>〗</w:t>
            </w:r>
            <w:r>
              <w:rPr>
                <w:rFonts w:hint="eastAsia" w:ascii="宋体" w:hAnsi="宋体"/>
                <w:b/>
                <w:bCs/>
                <w:highlight w:val="none"/>
              </w:rPr>
              <w:t>个工作日在管理人或销售机构网站公告。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提前终止</w:t>
            </w:r>
          </w:p>
        </w:tc>
        <w:tc>
          <w:tcPr>
            <w:tcW w:w="7281" w:type="dxa"/>
            <w:vAlign w:val="center"/>
          </w:tcPr>
          <w:p>
            <w:pPr>
              <w:widowControl/>
              <w:spacing w:line="360" w:lineRule="auto"/>
              <w:contextualSpacing/>
              <w:rPr>
                <w:rFonts w:ascii="宋体" w:hAnsi="宋体" w:cs="宋体"/>
                <w:b/>
                <w:color w:val="000000"/>
                <w:kern w:val="0"/>
                <w:szCs w:val="21"/>
                <w:highlight w:val="none"/>
              </w:rPr>
            </w:pPr>
            <w:r>
              <w:rPr>
                <w:rFonts w:hint="eastAsia" w:ascii="宋体" w:hAnsi="宋体" w:cs="宋体"/>
                <w:b/>
                <w:color w:val="000000"/>
                <w:kern w:val="0"/>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税费规定</w:t>
            </w:r>
          </w:p>
        </w:tc>
        <w:tc>
          <w:tcPr>
            <w:tcW w:w="7281" w:type="dxa"/>
            <w:vAlign w:val="center"/>
          </w:tcPr>
          <w:p>
            <w:pPr>
              <w:spacing w:line="360" w:lineRule="auto"/>
              <w:outlineLvl w:val="9"/>
              <w:rPr>
                <w:rFonts w:ascii="宋体" w:hAnsi="宋体" w:cs="宋体"/>
                <w:color w:val="000000"/>
                <w:szCs w:val="21"/>
                <w:highlight w:val="none"/>
              </w:rPr>
            </w:pPr>
            <w:r>
              <w:rPr>
                <w:rFonts w:hint="eastAsia" w:ascii="宋体" w:hAnsi="宋体" w:cs="宋体"/>
                <w:color w:val="000000"/>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kern w:val="0"/>
                <w:szCs w:val="21"/>
                <w:highlight w:val="none"/>
              </w:rPr>
            </w:pPr>
            <w:r>
              <w:rPr>
                <w:rFonts w:hint="eastAsia" w:ascii="宋体" w:hAnsi="宋体" w:cs="宋体"/>
                <w:color w:val="000000"/>
                <w:szCs w:val="21"/>
                <w:highlight w:val="none"/>
              </w:rPr>
              <w:t>融资服务</w:t>
            </w:r>
          </w:p>
        </w:tc>
        <w:tc>
          <w:tcPr>
            <w:tcW w:w="7281" w:type="dxa"/>
            <w:vAlign w:val="bottom"/>
          </w:tcPr>
          <w:p>
            <w:pPr>
              <w:spacing w:line="360" w:lineRule="auto"/>
              <w:rPr>
                <w:rFonts w:ascii="宋体" w:hAnsi="宋体" w:cs="宋体"/>
                <w:b/>
                <w:color w:val="000000"/>
                <w:kern w:val="0"/>
                <w:szCs w:val="21"/>
                <w:highlight w:val="none"/>
              </w:rPr>
            </w:pPr>
            <w:r>
              <w:rPr>
                <w:rFonts w:hint="eastAsia" w:ascii="宋体" w:hAnsi="宋体" w:cs="宋体"/>
                <w:b/>
                <w:color w:val="000000"/>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423"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其他规定</w:t>
            </w:r>
          </w:p>
        </w:tc>
        <w:tc>
          <w:tcPr>
            <w:tcW w:w="728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000000"/>
                <w:kern w:val="0"/>
                <w:szCs w:val="21"/>
                <w:highlight w:val="none"/>
              </w:rPr>
            </w:pPr>
            <w:r>
              <w:rPr>
                <w:rFonts w:hint="eastAsia" w:ascii="宋体" w:hAnsi="宋体" w:cs="宋体"/>
                <w:color w:val="000000"/>
                <w:szCs w:val="21"/>
                <w:highlight w:val="none"/>
              </w:rPr>
              <w:t>认购期内按照活期存款利率计息，认购期内的利息不计入认购本金份额。到期日（或理财计划实际终止日）到理财资金返还到账日为还本清算期，还本清算期内不计付利息。</w:t>
            </w:r>
            <w:r>
              <w:rPr>
                <w:rFonts w:hint="eastAsia" w:ascii="宋体" w:hAnsi="宋体" w:cs="宋体"/>
                <w:color w:val="000000"/>
                <w:kern w:val="0"/>
                <w:szCs w:val="21"/>
                <w:highlight w:val="none"/>
              </w:rPr>
              <w:t>（具体以销售机构规定为准）</w:t>
            </w:r>
          </w:p>
          <w:p>
            <w:pPr>
              <w:spacing w:line="360" w:lineRule="auto"/>
              <w:rPr>
                <w:rFonts w:ascii="宋体" w:hAnsi="宋体" w:cs="宋体"/>
                <w:color w:val="000000"/>
                <w:kern w:val="0"/>
                <w:szCs w:val="21"/>
                <w:highlight w:val="none"/>
              </w:rPr>
            </w:pPr>
            <w:r>
              <w:rPr>
                <w:rFonts w:hint="eastAsia" w:ascii="宋体" w:hAnsi="宋体" w:cs="宋体"/>
                <w:color w:val="000000"/>
                <w:kern w:val="0"/>
                <w:szCs w:val="21"/>
                <w:highlight w:val="none"/>
              </w:rPr>
              <w:t>管理人有权根据市场情况和本理财计划运作情况，对本理财计划的收费项目、条件、标准和方式进行调整。</w:t>
            </w:r>
          </w:p>
        </w:tc>
      </w:tr>
    </w:tbl>
    <w:p>
      <w:pPr>
        <w:spacing w:line="360" w:lineRule="auto"/>
        <w:rPr>
          <w:rFonts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ascii="宋体" w:hAnsi="宋体" w:cs="宋体"/>
          <w:b/>
          <w:color w:val="000000"/>
          <w:sz w:val="24"/>
          <w:highlight w:val="none"/>
        </w:rPr>
      </w:pPr>
    </w:p>
    <w:p>
      <w:pPr>
        <w:numPr>
          <w:ilvl w:val="0"/>
          <w:numId w:val="18"/>
        </w:numPr>
        <w:spacing w:line="360" w:lineRule="auto"/>
        <w:outlineLvl w:val="1"/>
        <w:rPr>
          <w:rFonts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19"/>
        </w:numPr>
        <w:spacing w:line="360" w:lineRule="auto"/>
        <w:jc w:val="left"/>
        <w:outlineLvl w:val="2"/>
        <w:rPr>
          <w:rFonts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0"/>
        </w:numPr>
        <w:spacing w:line="360" w:lineRule="auto"/>
        <w:jc w:val="left"/>
        <w:rPr>
          <w:rFonts w:ascii="宋体" w:hAnsi="宋体" w:cs="宋体"/>
          <w:bCs/>
          <w:sz w:val="24"/>
          <w:highlight w:val="none"/>
        </w:rPr>
      </w:pPr>
      <w:r>
        <w:rPr>
          <w:rFonts w:hint="eastAsia" w:ascii="宋体" w:hAnsi="宋体" w:cs="宋体"/>
          <w:bCs/>
          <w:sz w:val="24"/>
          <w:highlight w:val="none"/>
        </w:rPr>
        <w:t>固定收益类资产：包括但不限于各类债券、存款、货币市场金融工具等高流动性资产、货币市场基金、债券基金、质押式及买断式回购，其他符合监管要求的固定收益类资产及资产管理产品。</w:t>
      </w:r>
    </w:p>
    <w:p>
      <w:pPr>
        <w:numPr>
          <w:ilvl w:val="0"/>
          <w:numId w:val="20"/>
        </w:numPr>
        <w:spacing w:line="360" w:lineRule="auto"/>
        <w:rPr>
          <w:rFonts w:ascii="宋体" w:hAnsi="宋体" w:cs="宋体"/>
          <w:bCs/>
          <w:highlight w:val="none"/>
        </w:rPr>
      </w:pPr>
      <w:r>
        <w:rPr>
          <w:rFonts w:hint="eastAsia" w:ascii="宋体" w:hAnsi="宋体" w:cs="宋体"/>
          <w:bCs/>
          <w:sz w:val="24"/>
          <w:highlight w:val="none"/>
        </w:rPr>
        <w:t>权益类资产：包括国内发行上市优先股以及其他符合监管要求的权益类资产（不包括未上市企业股权）。</w:t>
      </w:r>
    </w:p>
    <w:p>
      <w:pPr>
        <w:numPr>
          <w:ilvl w:val="0"/>
          <w:numId w:val="20"/>
        </w:numPr>
        <w:spacing w:line="360" w:lineRule="auto"/>
        <w:rPr>
          <w:rFonts w:ascii="宋体" w:hAnsi="宋体" w:cs="宋体"/>
          <w:bCs/>
          <w:highlight w:val="none"/>
        </w:rPr>
      </w:pPr>
      <w:r>
        <w:rPr>
          <w:rFonts w:hint="eastAsia" w:ascii="宋体" w:hAnsi="宋体" w:cs="宋体"/>
          <w:bCs/>
          <w:sz w:val="24"/>
          <w:highlight w:val="none"/>
        </w:rPr>
        <w:t>其他符合监管要求资产：包括其他符合监管要求的资产或资产管理产品。</w:t>
      </w:r>
    </w:p>
    <w:p>
      <w:pPr>
        <w:numPr>
          <w:ilvl w:val="0"/>
          <w:numId w:val="19"/>
        </w:numPr>
        <w:spacing w:line="360" w:lineRule="auto"/>
        <w:jc w:val="left"/>
        <w:outlineLvl w:val="2"/>
        <w:rPr>
          <w:rFonts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sz w:val="24"/>
          <w:highlight w:val="none"/>
          <w:lang w:val="en-US" w:eastAsia="zh-CN"/>
        </w:rPr>
        <w:t>总</w:t>
      </w:r>
      <w:r>
        <w:rPr>
          <w:rFonts w:hint="eastAsia" w:ascii="宋体" w:hAnsi="宋体" w:cs="宋体"/>
          <w:bCs/>
          <w:sz w:val="24"/>
          <w:highlight w:val="none"/>
        </w:rPr>
        <w:t>资产的配置比例如下：</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tcPr>
          <w:p>
            <w:pPr>
              <w:spacing w:line="360" w:lineRule="auto"/>
              <w:jc w:val="center"/>
              <w:rPr>
                <w:rFonts w:hint="eastAsia" w:ascii="宋体" w:hAnsi="宋体" w:cs="宋体"/>
                <w:bCs/>
                <w:szCs w:val="21"/>
                <w:highlight w:val="none"/>
              </w:rPr>
            </w:pPr>
            <w:r>
              <w:rPr>
                <w:rFonts w:hint="eastAsia" w:ascii="宋体" w:hAnsi="宋体" w:cs="宋体"/>
                <w:bCs/>
                <w:szCs w:val="21"/>
                <w:highlight w:val="none"/>
              </w:rPr>
              <w:t>类型</w:t>
            </w:r>
          </w:p>
        </w:tc>
        <w:tc>
          <w:tcPr>
            <w:tcW w:w="4740" w:type="dxa"/>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vAlign w:val="center"/>
          </w:tcPr>
          <w:p>
            <w:pPr>
              <w:spacing w:line="360" w:lineRule="auto"/>
              <w:jc w:val="left"/>
              <w:rPr>
                <w:rFonts w:ascii="宋体" w:hAnsi="宋体" w:cs="宋体"/>
                <w:bCs/>
                <w:szCs w:val="21"/>
                <w:highlight w:val="none"/>
              </w:rPr>
            </w:pPr>
          </w:p>
        </w:tc>
        <w:tc>
          <w:tcPr>
            <w:tcW w:w="4740" w:type="dxa"/>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w:t>
            </w:r>
            <w:r>
              <w:rPr>
                <w:rFonts w:hint="eastAsia" w:ascii="宋体" w:hAnsi="宋体" w:cs="宋体"/>
                <w:bCs/>
                <w:szCs w:val="21"/>
                <w:highlight w:val="none"/>
                <w:lang w:val="en-US" w:eastAsia="zh-CN"/>
              </w:rPr>
              <w:t>10</w:t>
            </w:r>
            <w:r>
              <w:rPr>
                <w:rFonts w:hint="eastAsia" w:ascii="宋体" w:hAnsi="宋体" w:cs="宋体"/>
                <w:bCs/>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vAlign w:val="center"/>
          </w:tcPr>
          <w:p>
            <w:pPr>
              <w:spacing w:line="360" w:lineRule="auto"/>
              <w:jc w:val="left"/>
              <w:rPr>
                <w:rFonts w:ascii="宋体" w:hAnsi="宋体" w:cs="宋体"/>
                <w:bCs/>
                <w:szCs w:val="21"/>
                <w:highlight w:val="none"/>
              </w:rPr>
            </w:pPr>
          </w:p>
        </w:tc>
        <w:tc>
          <w:tcPr>
            <w:tcW w:w="4740" w:type="dxa"/>
          </w:tcPr>
          <w:p>
            <w:pPr>
              <w:spacing w:line="360" w:lineRule="auto"/>
              <w:jc w:val="center"/>
              <w:rPr>
                <w:rFonts w:ascii="宋体" w:hAnsi="宋体" w:cs="宋体"/>
                <w:bCs/>
                <w:szCs w:val="21"/>
                <w:highlight w:val="none"/>
              </w:rPr>
            </w:pPr>
            <w:r>
              <w:rPr>
                <w:rFonts w:hint="eastAsia" w:ascii="宋体" w:hAnsi="宋体" w:cs="宋体"/>
                <w:bCs/>
                <w:szCs w:val="21"/>
                <w:highlight w:val="none"/>
              </w:rPr>
              <w:t>其他符合监管要求资产</w:t>
            </w:r>
          </w:p>
        </w:tc>
        <w:tc>
          <w:tcPr>
            <w:tcW w:w="1996"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w:t>
            </w:r>
          </w:p>
        </w:tc>
      </w:tr>
    </w:tbl>
    <w:p>
      <w:pPr>
        <w:pStyle w:val="18"/>
        <w:adjustRightInd/>
        <w:spacing w:line="360" w:lineRule="auto"/>
        <w:ind w:firstLine="456" w:firstLineChars="190"/>
        <w:rPr>
          <w:rFonts w:hint="eastAsia" w:ascii="宋体" w:hAnsi="宋体" w:cs="宋体"/>
          <w:bCs/>
          <w:color w:val="auto"/>
          <w:kern w:val="2"/>
          <w:highlight w:val="none"/>
        </w:rPr>
      </w:pPr>
      <w:r>
        <w:rPr>
          <w:rFonts w:hint="eastAsia" w:ascii="宋体" w:hAnsi="宋体" w:cs="宋体"/>
          <w:bCs/>
          <w:color w:val="auto"/>
          <w:kern w:val="2"/>
          <w:highlight w:val="none"/>
        </w:rPr>
        <w:t>本理财计划自成立日起1个月为建仓期，管理人应当在建仓期结束前使各项投资比例符合约定。在理财计划存续期间如遇市场变化导致各类投资品投资比例暂时超出以上范围，为保护投资者利益，管理人将在流动性受限资产可出售、可转让或者恢复交易的15个交易日内调整至上述比例范围。</w:t>
      </w:r>
    </w:p>
    <w:p>
      <w:pPr>
        <w:numPr>
          <w:ilvl w:val="0"/>
          <w:numId w:val="19"/>
        </w:numPr>
        <w:spacing w:line="360" w:lineRule="auto"/>
        <w:jc w:val="left"/>
        <w:outlineLvl w:val="2"/>
        <w:rPr>
          <w:rFonts w:ascii="宋体" w:hAnsi="宋体" w:cs="宋体"/>
          <w:b/>
          <w:sz w:val="24"/>
          <w:highlight w:val="none"/>
        </w:rPr>
      </w:pPr>
      <w:r>
        <w:rPr>
          <w:rFonts w:hint="eastAsia" w:ascii="宋体" w:hAnsi="宋体" w:cs="宋体"/>
          <w:b/>
          <w:sz w:val="24"/>
          <w:highlight w:val="none"/>
        </w:rPr>
        <w:t>投资策略</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本理财计划本着稳健投资的理念，基于宏观经济形势、货币政策、固定收益资产价格走势，采用安全性和流动性优先、优选投资品种，采取久期策略、杠杆策略和信用策略来获取稳定收益。本产品以固定收益投资为主，主要投资于债券、存款、货币基金等高流动性资产并通过开展债券回购等融入或融出资金，以应对流动性需要和提高资金使用效率。</w:t>
      </w:r>
    </w:p>
    <w:p>
      <w:pPr>
        <w:numPr>
          <w:ilvl w:val="0"/>
          <w:numId w:val="19"/>
        </w:numPr>
        <w:spacing w:line="360" w:lineRule="auto"/>
        <w:jc w:val="left"/>
        <w:outlineLvl w:val="2"/>
        <w:rPr>
          <w:rFonts w:ascii="宋体" w:hAnsi="宋体" w:cs="宋体"/>
          <w:b/>
          <w:sz w:val="24"/>
          <w:highlight w:val="none"/>
        </w:rPr>
      </w:pPr>
      <w:r>
        <w:rPr>
          <w:rFonts w:hint="eastAsia" w:ascii="宋体" w:hAnsi="宋体" w:cs="宋体"/>
          <w:b/>
          <w:sz w:val="24"/>
          <w:highlight w:val="none"/>
        </w:rPr>
        <w:t>投资限制</w:t>
      </w:r>
    </w:p>
    <w:p>
      <w:pPr>
        <w:spacing w:line="360" w:lineRule="auto"/>
        <w:ind w:firstLine="480" w:firstLineChars="200"/>
        <w:jc w:val="left"/>
        <w:rPr>
          <w:rFonts w:hint="eastAsia" w:ascii="宋体" w:hAnsi="宋体" w:eastAsia="宋体" w:cs="宋体"/>
          <w:bCs/>
          <w:sz w:val="24"/>
          <w:highlight w:val="none"/>
          <w:lang w:eastAsia="zh-CN"/>
        </w:rPr>
      </w:pPr>
      <w:r>
        <w:rPr>
          <w:rFonts w:hint="eastAsia" w:ascii="宋体" w:hAnsi="宋体" w:cs="宋体"/>
          <w:bCs/>
          <w:sz w:val="24"/>
          <w:highlight w:val="none"/>
          <w:lang w:val="en-US" w:eastAsia="zh-CN"/>
        </w:rPr>
        <w:t>投资限制</w:t>
      </w:r>
      <w:r>
        <w:rPr>
          <w:rFonts w:hint="eastAsia" w:ascii="宋体" w:hAnsi="宋体" w:cs="宋体"/>
          <w:bCs/>
          <w:sz w:val="24"/>
          <w:highlight w:val="none"/>
        </w:rPr>
        <w:t>中列示的资产品种不代表管理人的实际投向，本理财计划投资范围以“投资范围”章节表述为准</w:t>
      </w:r>
      <w:r>
        <w:rPr>
          <w:rFonts w:hint="eastAsia" w:ascii="宋体" w:hAnsi="宋体" w:cs="宋体"/>
          <w:bCs/>
          <w:sz w:val="24"/>
          <w:highlight w:val="none"/>
          <w:lang w:eastAsia="zh-CN"/>
        </w:rPr>
        <w:t>。</w:t>
      </w:r>
    </w:p>
    <w:p>
      <w:pPr>
        <w:numPr>
          <w:ilvl w:val="0"/>
          <w:numId w:val="21"/>
        </w:numPr>
        <w:spacing w:line="360" w:lineRule="auto"/>
        <w:jc w:val="left"/>
        <w:rPr>
          <w:rFonts w:ascii="宋体" w:hAnsi="宋体" w:cs="宋体"/>
          <w:bCs/>
          <w:sz w:val="24"/>
          <w:highlight w:val="none"/>
        </w:rPr>
      </w:pPr>
      <w:r>
        <w:rPr>
          <w:rFonts w:hint="eastAsia" w:ascii="宋体" w:hAnsi="宋体" w:cs="宋体"/>
          <w:bCs/>
          <w:sz w:val="24"/>
          <w:highlight w:val="none"/>
        </w:rPr>
        <w:t>投资集中度限制</w:t>
      </w:r>
    </w:p>
    <w:p>
      <w:pPr>
        <w:numPr>
          <w:ilvl w:val="0"/>
          <w:numId w:val="22"/>
        </w:numPr>
        <w:spacing w:line="360" w:lineRule="auto"/>
        <w:ind w:firstLine="480" w:firstLineChars="200"/>
        <w:jc w:val="left"/>
        <w:rPr>
          <w:rFonts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fldChar w:fldCharType="begin"/>
      </w:r>
      <w:r>
        <w:instrText xml:space="preserve"> HYPERLINK "https://baike.baidu.com/item/%E8%AF%81%E5%88%B8%E6%8A%95%E8%B5%84%E5%9F%BA%E9%87%91/3746" \t "https://baike.baidu.com/item/%E5%95%86%E4%B8%9A%E9%93%B6%E8%A1%8C%E7%90%86%E8%B4%A2%E4%B8%9A%E5%8A%A1%E7%9B%91%E7%9D%A3%E7%AE%A1%E7%90%86%E5%8A%9E%E6%B3%95/_blank" </w:instrText>
      </w:r>
      <w: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2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管理人发行的全部开放式公募理财计划投资单一上市公司发行的股票,不得超过该上市公司可流通股票的15%。</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1"/>
        </w:numPr>
        <w:spacing w:line="360" w:lineRule="auto"/>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本理财计划投资的非标准化债权类资产到期日不得晚于理财计划最近一次开放日。</w:t>
      </w:r>
    </w:p>
    <w:p>
      <w:pPr>
        <w:numPr>
          <w:ilvl w:val="0"/>
          <w:numId w:val="21"/>
        </w:numPr>
        <w:spacing w:line="360" w:lineRule="auto"/>
        <w:jc w:val="left"/>
        <w:rPr>
          <w:rFonts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21"/>
        </w:numPr>
        <w:spacing w:line="360" w:lineRule="auto"/>
        <w:jc w:val="left"/>
        <w:rPr>
          <w:rFonts w:hint="eastAsia" w:ascii="宋体" w:hAnsi="宋体" w:cs="宋体"/>
          <w:bCs/>
          <w:sz w:val="24"/>
          <w:highlight w:val="none"/>
        </w:rPr>
      </w:pPr>
      <w:r>
        <w:rPr>
          <w:rFonts w:hint="eastAsia" w:ascii="宋体" w:hAnsi="宋体" w:cs="宋体"/>
          <w:bCs/>
          <w:sz w:val="24"/>
          <w:highlight w:val="none"/>
        </w:rPr>
        <w:t>流动性限制</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本理财计划直接投资于流动性受限资产的市值在开放日不得超过该理财计划资产净值的15%。</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如定期开放周期不低于90天，应当在开放日及开放日前7个工作日内持有不低于该理财计划资产净值5%的现金或者到期日在一年以内的国债、中央银行票据和政策性金融债券；如定期开放周期低于90天，应当持有不低于该理财产品资产净值5%的现金或者到期日在一年以内的国债、中央银行票据和政策性金融债券。</w:t>
      </w:r>
    </w:p>
    <w:p>
      <w:pPr>
        <w:numPr>
          <w:ilvl w:val="0"/>
          <w:numId w:val="2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在开放日前一工作日内，本理财计划7个工作日可变现资产的可变现价值应当不低于该理财计划资产净值的10%。</w:t>
      </w:r>
    </w:p>
    <w:p>
      <w:pPr>
        <w:numPr>
          <w:ilvl w:val="0"/>
          <w:numId w:val="2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本理财计划如定期开放周期低于90天，计划投资不存在活跃交易市场，并且需要采用估值技术确定公允价值的资产比例不得超过理财产品净资产50%以上。</w:t>
      </w:r>
    </w:p>
    <w:p>
      <w:pPr>
        <w:numPr>
          <w:ilvl w:val="0"/>
          <w:numId w:val="21"/>
        </w:numPr>
        <w:spacing w:line="360" w:lineRule="auto"/>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fldChar w:fldCharType="begin"/>
      </w:r>
      <w:r>
        <w:instrText xml:space="preserve"> HYPERLINK "https://baike.baidu.com/item/%E8%B5%84%E4%BA%A7%E6%94%AF%E6%8C%81%E8%AF%81%E5%88%B8/8989161" \t "https://baike.baidu.com/item/%E5%95%86%E4%B8%9A%E9%93%B6%E8%A1%8C%E7%90%86%E8%B4%A2%E4%B8%9A%E5%8A%A1%E7%9B%91%E7%9D%A3%E7%AE%A1%E7%90%86%E5%8A%9E%E6%B3%95/_blank" </w:instrText>
      </w:r>
      <w: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（五）拟投资市场、资产的流动性风险评估</w:t>
      </w:r>
    </w:p>
    <w:p>
      <w:pPr>
        <w:spacing w:line="360" w:lineRule="auto"/>
        <w:ind w:left="420"/>
        <w:jc w:val="left"/>
        <w:rPr>
          <w:rFonts w:hint="eastAsia" w:ascii="宋体" w:hAnsi="宋体" w:cs="宋体"/>
          <w:bCs/>
          <w:sz w:val="24"/>
          <w:highlight w:val="none"/>
        </w:rPr>
      </w:pPr>
      <w:r>
        <w:rPr>
          <w:rFonts w:hint="eastAsia" w:ascii="宋体" w:hAnsi="宋体" w:cs="宋体"/>
          <w:bCs/>
          <w:sz w:val="24"/>
          <w:highlight w:val="none"/>
        </w:rPr>
        <w:t>本理财计划拟投资市场可能面临的流动性风险如下：</w:t>
      </w:r>
    </w:p>
    <w:p>
      <w:pPr>
        <w:numPr>
          <w:ilvl w:val="0"/>
          <w:numId w:val="24"/>
        </w:numPr>
        <w:spacing w:line="360" w:lineRule="auto"/>
        <w:jc w:val="left"/>
        <w:rPr>
          <w:rFonts w:hint="eastAsia" w:ascii="宋体" w:hAnsi="宋体" w:cs="宋体"/>
          <w:bCs/>
          <w:sz w:val="24"/>
          <w:highlight w:val="none"/>
        </w:rPr>
      </w:pPr>
      <w:r>
        <w:rPr>
          <w:rFonts w:hint="eastAsia" w:ascii="宋体" w:hAnsi="宋体" w:cs="宋体"/>
          <w:bCs/>
          <w:sz w:val="24"/>
          <w:highlight w:val="none"/>
        </w:rPr>
        <w:t>投资于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4"/>
        </w:numPr>
        <w:spacing w:line="360" w:lineRule="auto"/>
        <w:jc w:val="left"/>
        <w:rPr>
          <w:rFonts w:hint="eastAsia" w:ascii="宋体" w:hAnsi="宋体" w:cs="宋体"/>
          <w:bCs/>
          <w:sz w:val="24"/>
          <w:highlight w:val="none"/>
        </w:rPr>
      </w:pPr>
      <w:r>
        <w:rPr>
          <w:rFonts w:hint="eastAsia" w:ascii="宋体" w:hAnsi="宋体" w:cs="宋体"/>
          <w:bCs/>
          <w:sz w:val="24"/>
          <w:highlight w:val="none"/>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4"/>
        </w:numPr>
        <w:spacing w:line="360" w:lineRule="auto"/>
        <w:jc w:val="left"/>
        <w:rPr>
          <w:rFonts w:hint="eastAsia" w:ascii="宋体" w:hAnsi="宋体" w:cs="宋体"/>
          <w:bCs/>
          <w:sz w:val="24"/>
          <w:highlight w:val="none"/>
        </w:rPr>
      </w:pPr>
      <w:r>
        <w:rPr>
          <w:rFonts w:hint="eastAsia" w:ascii="宋体" w:hAnsi="宋体" w:cs="宋体"/>
          <w:bCs/>
          <w:sz w:val="24"/>
          <w:highlight w:val="none"/>
        </w:rPr>
        <w:t>投资于权益类</w:t>
      </w:r>
      <w:r>
        <w:rPr>
          <w:rFonts w:hint="eastAsia" w:ascii="宋体" w:hAnsi="宋体" w:cs="宋体"/>
          <w:bCs/>
          <w:sz w:val="24"/>
          <w:highlight w:val="none"/>
          <w:lang w:val="en-US" w:eastAsia="zh-CN"/>
        </w:rPr>
        <w:t>、其他类</w:t>
      </w:r>
      <w:r>
        <w:rPr>
          <w:rFonts w:hint="eastAsia" w:ascii="宋体" w:hAnsi="宋体" w:cs="宋体"/>
          <w:bCs/>
          <w:sz w:val="24"/>
          <w:highlight w:val="none"/>
        </w:rPr>
        <w:t>资产的可能流动性风险（如有）：权益类</w:t>
      </w:r>
      <w:r>
        <w:rPr>
          <w:rFonts w:hint="eastAsia" w:ascii="宋体" w:hAnsi="宋体" w:cs="宋体"/>
          <w:bCs/>
          <w:sz w:val="24"/>
          <w:highlight w:val="none"/>
          <w:lang w:val="en-US" w:eastAsia="zh-CN"/>
        </w:rPr>
        <w:t>、其他类</w:t>
      </w:r>
      <w:r>
        <w:rPr>
          <w:rFonts w:hint="eastAsia" w:ascii="宋体" w:hAnsi="宋体" w:cs="宋体"/>
          <w:bCs/>
          <w:sz w:val="24"/>
          <w:highlight w:val="none"/>
        </w:rPr>
        <w:t>资产包括但不限于上市公司普通股、上市公司优先股、股票基金、股票定向增发等，受国家政策、经济周期、利率、汇率、股票发行人经营情况</w:t>
      </w:r>
      <w:r>
        <w:rPr>
          <w:rFonts w:hint="eastAsia" w:ascii="宋体" w:hAnsi="宋体" w:cs="宋体"/>
          <w:bCs/>
          <w:sz w:val="24"/>
          <w:highlight w:val="none"/>
          <w:lang w:val="en-US" w:eastAsia="zh-CN"/>
        </w:rPr>
        <w:t>、大宗商品</w:t>
      </w:r>
      <w:r>
        <w:rPr>
          <w:rFonts w:hint="eastAsia" w:ascii="宋体" w:hAnsi="宋体" w:cs="宋体"/>
          <w:bCs/>
          <w:sz w:val="24"/>
          <w:highlight w:val="none"/>
        </w:rPr>
        <w:t>等因素导致的市场风险，可能导致流通与转让限制、市场参与者交易意愿降低、停牌、退市等情形，从而进一步引发流动性风险。</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以上风险仅为列举性质，未能详尽列明拟投资市场和资产面临的全部流动性风险</w:t>
      </w:r>
      <w:r>
        <w:rPr>
          <w:rFonts w:ascii="宋体" w:hAnsi="宋体" w:cs="宋体"/>
          <w:bCs/>
          <w:sz w:val="24"/>
          <w:highlight w:val="none"/>
        </w:rPr>
        <w:t>可能导致投资者投资本金及收益损失</w:t>
      </w:r>
      <w:r>
        <w:rPr>
          <w:rFonts w:hint="eastAsia" w:ascii="宋体" w:hAnsi="宋体" w:cs="宋体"/>
          <w:bCs/>
          <w:sz w:val="24"/>
          <w:highlight w:val="none"/>
        </w:rPr>
        <w:t>或延期兑付</w:t>
      </w:r>
      <w:r>
        <w:rPr>
          <w:rFonts w:ascii="宋体" w:hAnsi="宋体" w:cs="宋体"/>
          <w:bCs/>
          <w:sz w:val="24"/>
          <w:highlight w:val="none"/>
        </w:rPr>
        <w:t>的所有因素</w:t>
      </w:r>
      <w:r>
        <w:rPr>
          <w:rFonts w:hint="eastAsia" w:ascii="宋体" w:hAnsi="宋体" w:cs="宋体"/>
          <w:bCs/>
          <w:sz w:val="24"/>
          <w:highlight w:val="none"/>
        </w:rPr>
        <w:t>。管理人会进行标的的分散化投资并结合对各类标的资产的预期流动性合理进行资产配置，最大程度防范流动性风险。</w:t>
      </w:r>
    </w:p>
    <w:p>
      <w:pPr>
        <w:spacing w:line="360" w:lineRule="auto"/>
        <w:ind w:firstLine="480" w:firstLineChars="200"/>
        <w:jc w:val="left"/>
        <w:rPr>
          <w:rFonts w:hint="eastAsia" w:ascii="宋体" w:hAnsi="宋体" w:cs="宋体"/>
          <w:bCs/>
          <w:sz w:val="24"/>
          <w:highlight w:val="none"/>
        </w:rPr>
      </w:pPr>
    </w:p>
    <w:p>
      <w:pPr>
        <w:numPr>
          <w:ilvl w:val="0"/>
          <w:numId w:val="25"/>
        </w:numPr>
        <w:spacing w:line="360" w:lineRule="auto"/>
        <w:jc w:val="left"/>
        <w:outlineLvl w:val="1"/>
        <w:rPr>
          <w:rFonts w:ascii="宋体" w:hAnsi="宋体" w:cs="宋体"/>
          <w:b/>
          <w:sz w:val="24"/>
          <w:highlight w:val="none"/>
        </w:rPr>
      </w:pPr>
      <w:r>
        <w:rPr>
          <w:rFonts w:hint="eastAsia" w:ascii="宋体" w:hAnsi="宋体" w:cs="宋体"/>
          <w:b/>
          <w:sz w:val="24"/>
          <w:highlight w:val="none"/>
        </w:rPr>
        <w:t>合作机构及主要职责</w:t>
      </w:r>
    </w:p>
    <w:p>
      <w:pPr>
        <w:numPr>
          <w:ilvl w:val="0"/>
          <w:numId w:val="26"/>
        </w:numPr>
        <w:spacing w:line="360" w:lineRule="auto"/>
        <w:jc w:val="left"/>
        <w:outlineLvl w:val="2"/>
        <w:rPr>
          <w:rFonts w:ascii="宋体" w:hAnsi="宋体" w:cs="宋体"/>
          <w:b/>
          <w:sz w:val="24"/>
          <w:highlight w:val="none"/>
        </w:rPr>
      </w:pPr>
      <w:r>
        <w:rPr>
          <w:rFonts w:hint="eastAsia" w:ascii="宋体" w:hAnsi="宋体" w:cs="宋体"/>
          <w:b/>
          <w:sz w:val="24"/>
          <w:highlight w:val="none"/>
        </w:rPr>
        <w:t>托管人</w:t>
      </w:r>
    </w:p>
    <w:tbl>
      <w:tblPr>
        <w:tblStyle w:val="9"/>
        <w:tblW w:w="7793" w:type="dxa"/>
        <w:tblInd w:w="3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6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1740"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托管人名称</w:t>
            </w:r>
          </w:p>
        </w:tc>
        <w:tc>
          <w:tcPr>
            <w:tcW w:w="6053" w:type="dxa"/>
          </w:tcPr>
          <w:p>
            <w:pPr>
              <w:spacing w:line="360" w:lineRule="auto"/>
              <w:jc w:val="left"/>
              <w:rPr>
                <w:rFonts w:ascii="宋体" w:hAnsi="宋体" w:cs="宋体"/>
                <w:bCs/>
                <w:szCs w:val="21"/>
                <w:highlight w:val="none"/>
              </w:rPr>
            </w:pPr>
            <w:r>
              <w:rPr>
                <w:rFonts w:hint="eastAsia" w:ascii="宋体" w:hAnsi="宋体" w:cs="宋体"/>
                <w:bCs/>
                <w:szCs w:val="21"/>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740"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托管人住所</w:t>
            </w:r>
          </w:p>
        </w:tc>
        <w:tc>
          <w:tcPr>
            <w:tcW w:w="6053" w:type="dxa"/>
          </w:tcPr>
          <w:p>
            <w:pPr>
              <w:spacing w:line="360" w:lineRule="auto"/>
              <w:jc w:val="left"/>
              <w:rPr>
                <w:rFonts w:hint="eastAsia" w:ascii="宋体" w:hAnsi="宋体" w:eastAsia="宋体" w:cs="宋体"/>
                <w:bCs/>
                <w:szCs w:val="21"/>
                <w:highlight w:val="none"/>
                <w:lang w:eastAsia="zh-CN"/>
              </w:rPr>
            </w:pPr>
            <w:r>
              <w:rPr>
                <w:rFonts w:hint="eastAsia" w:ascii="宋体" w:hAnsi="宋体" w:cs="宋体"/>
                <w:bCs/>
                <w:szCs w:val="21"/>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1740"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托管人职责</w:t>
            </w:r>
          </w:p>
        </w:tc>
        <w:tc>
          <w:tcPr>
            <w:tcW w:w="6053" w:type="dxa"/>
          </w:tcPr>
          <w:p>
            <w:pPr>
              <w:spacing w:line="360" w:lineRule="auto"/>
              <w:jc w:val="left"/>
              <w:rPr>
                <w:rFonts w:ascii="宋体" w:hAnsi="宋体" w:cs="宋体"/>
                <w:bCs/>
                <w:szCs w:val="21"/>
                <w:highlight w:val="none"/>
              </w:rPr>
            </w:pPr>
            <w:r>
              <w:rPr>
                <w:rFonts w:hint="eastAsia" w:ascii="宋体" w:hAnsi="宋体" w:cs="宋体"/>
                <w:bCs/>
                <w:szCs w:val="21"/>
                <w:highlight w:val="none"/>
              </w:rPr>
              <w:t>主要提供包括账户开立、资金保管、资金结算、估值核对等理财产品托管服务。</w:t>
            </w:r>
          </w:p>
        </w:tc>
      </w:tr>
    </w:tbl>
    <w:p>
      <w:pPr>
        <w:numPr>
          <w:ilvl w:val="0"/>
          <w:numId w:val="27"/>
        </w:numPr>
        <w:spacing w:line="360" w:lineRule="auto"/>
        <w:jc w:val="left"/>
        <w:outlineLvl w:val="2"/>
        <w:rPr>
          <w:rFonts w:ascii="宋体" w:hAnsi="宋体" w:cs="宋体"/>
          <w:b/>
          <w:sz w:val="24"/>
          <w:highlight w:val="none"/>
        </w:rPr>
      </w:pPr>
      <w:r>
        <w:rPr>
          <w:rFonts w:hint="eastAsia" w:ascii="宋体" w:hAnsi="宋体" w:cs="宋体"/>
          <w:b/>
          <w:sz w:val="24"/>
          <w:highlight w:val="none"/>
        </w:rPr>
        <w:t>销售机构</w:t>
      </w:r>
    </w:p>
    <w:tbl>
      <w:tblPr>
        <w:tblStyle w:val="9"/>
        <w:tblW w:w="7802" w:type="dxa"/>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475"/>
        <w:gridCol w:w="1155"/>
        <w:gridCol w:w="3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restart"/>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销售机构信息</w:t>
            </w:r>
          </w:p>
        </w:tc>
        <w:tc>
          <w:tcPr>
            <w:tcW w:w="2475" w:type="dxa"/>
            <w:vMerge w:val="restart"/>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lang w:val="en-US" w:eastAsia="zh-CN"/>
              </w:rPr>
              <w:t>兴业</w:t>
            </w:r>
            <w:r>
              <w:rPr>
                <w:rFonts w:hint="eastAsia" w:ascii="宋体" w:hAnsi="宋体" w:cs="宋体"/>
                <w:bCs/>
                <w:szCs w:val="21"/>
                <w:highlight w:val="none"/>
              </w:rPr>
              <w:t>银行股份有限公司</w:t>
            </w:r>
          </w:p>
        </w:tc>
        <w:tc>
          <w:tcPr>
            <w:tcW w:w="1155"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住所</w:t>
            </w:r>
          </w:p>
        </w:tc>
        <w:tc>
          <w:tcPr>
            <w:tcW w:w="3210" w:type="dxa"/>
            <w:vAlign w:val="center"/>
          </w:tcPr>
          <w:p>
            <w:pPr>
              <w:widowControl/>
              <w:jc w:val="center"/>
              <w:rPr>
                <w:rFonts w:ascii="宋体" w:hAnsi="宋体" w:cs="宋体"/>
                <w:bCs/>
                <w:szCs w:val="21"/>
                <w:highlight w:val="none"/>
              </w:rPr>
            </w:pPr>
            <w:r>
              <w:rPr>
                <w:rFonts w:hint="eastAsia" w:ascii="宋体" w:hAnsi="宋体" w:cs="宋体"/>
                <w:bCs/>
                <w:szCs w:val="21"/>
                <w:highlight w:val="none"/>
              </w:rPr>
              <w:t>福建省福州市台江区江滨中大道398号兴业银行大厦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tcPr>
          <w:p>
            <w:pPr>
              <w:spacing w:line="360" w:lineRule="auto"/>
              <w:jc w:val="left"/>
              <w:rPr>
                <w:rFonts w:ascii="宋体" w:hAnsi="宋体" w:cs="宋体"/>
                <w:bCs/>
                <w:szCs w:val="21"/>
                <w:highlight w:val="none"/>
              </w:rPr>
            </w:pPr>
          </w:p>
        </w:tc>
        <w:tc>
          <w:tcPr>
            <w:tcW w:w="2475" w:type="dxa"/>
            <w:vMerge w:val="continue"/>
            <w:vAlign w:val="center"/>
          </w:tcPr>
          <w:p>
            <w:pPr>
              <w:spacing w:line="360" w:lineRule="auto"/>
              <w:jc w:val="center"/>
              <w:rPr>
                <w:rFonts w:ascii="宋体" w:hAnsi="宋体" w:cs="宋体"/>
                <w:bCs/>
                <w:szCs w:val="21"/>
                <w:highlight w:val="none"/>
              </w:rPr>
            </w:pPr>
          </w:p>
        </w:tc>
        <w:tc>
          <w:tcPr>
            <w:tcW w:w="1155"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客服热线</w:t>
            </w:r>
          </w:p>
        </w:tc>
        <w:tc>
          <w:tcPr>
            <w:tcW w:w="3210" w:type="dxa"/>
            <w:vAlign w:val="center"/>
          </w:tcPr>
          <w:p>
            <w:pPr>
              <w:spacing w:line="360" w:lineRule="auto"/>
              <w:jc w:val="center"/>
              <w:rPr>
                <w:rFonts w:hint="default" w:ascii="宋体" w:hAnsi="宋体" w:eastAsia="宋体" w:cs="宋体"/>
                <w:bCs/>
                <w:szCs w:val="21"/>
                <w:highlight w:val="none"/>
                <w:lang w:val="en-US" w:eastAsia="zh-CN"/>
              </w:rPr>
            </w:pPr>
            <w:r>
              <w:rPr>
                <w:rFonts w:hint="eastAsia" w:ascii="宋体" w:hAnsi="宋体" w:cs="宋体"/>
                <w:bCs/>
                <w:szCs w:val="21"/>
                <w:highlight w:val="none"/>
              </w:rPr>
              <w:t>95</w:t>
            </w:r>
            <w:r>
              <w:rPr>
                <w:rFonts w:hint="eastAsia" w:ascii="宋体" w:hAnsi="宋体" w:cs="宋体"/>
                <w:bCs/>
                <w:szCs w:val="21"/>
                <w:highlight w:val="none"/>
                <w:lang w:val="en-US" w:eastAsia="zh-CN"/>
              </w:rPr>
              <w:t>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tcPr>
          <w:p>
            <w:pPr>
              <w:spacing w:line="360" w:lineRule="auto"/>
              <w:jc w:val="left"/>
              <w:rPr>
                <w:rFonts w:ascii="宋体" w:hAnsi="宋体" w:cs="宋体"/>
                <w:bCs/>
                <w:szCs w:val="21"/>
                <w:highlight w:val="none"/>
              </w:rPr>
            </w:pPr>
          </w:p>
        </w:tc>
        <w:tc>
          <w:tcPr>
            <w:tcW w:w="2475" w:type="dxa"/>
            <w:vMerge w:val="restart"/>
            <w:vAlign w:val="center"/>
          </w:tcPr>
          <w:p>
            <w:pPr>
              <w:widowControl/>
              <w:jc w:val="center"/>
              <w:rPr>
                <w:rFonts w:hint="eastAsia" w:ascii="宋体" w:hAnsi="宋体" w:eastAsia="宋体" w:cs="宋体"/>
                <w:color w:val="000000"/>
                <w:kern w:val="0"/>
                <w:highlight w:val="none"/>
                <w:lang w:val="en-US" w:eastAsia="zh-CN"/>
              </w:rPr>
            </w:pPr>
            <w:r>
              <w:rPr>
                <w:rFonts w:hint="eastAsia" w:ascii="宋体" w:hAnsi="宋体" w:cs="宋体"/>
                <w:color w:val="000000"/>
                <w:kern w:val="0"/>
                <w:highlight w:val="none"/>
                <w:lang w:val="en-US" w:eastAsia="zh-CN"/>
              </w:rPr>
              <w:t>杭州银行</w:t>
            </w:r>
            <w:r>
              <w:rPr>
                <w:rFonts w:hint="eastAsia" w:ascii="宋体" w:hAnsi="宋体" w:cs="宋体"/>
                <w:bCs/>
                <w:szCs w:val="21"/>
                <w:highlight w:val="none"/>
              </w:rPr>
              <w:t>股份有限公司</w:t>
            </w:r>
          </w:p>
        </w:tc>
        <w:tc>
          <w:tcPr>
            <w:tcW w:w="1155" w:type="dxa"/>
            <w:vAlign w:val="center"/>
          </w:tcPr>
          <w:p>
            <w:pPr>
              <w:spacing w:line="360" w:lineRule="auto"/>
              <w:jc w:val="center"/>
              <w:rPr>
                <w:rFonts w:hint="eastAsia" w:ascii="宋体" w:hAnsi="宋体" w:cs="宋体"/>
                <w:color w:val="000000"/>
                <w:kern w:val="0"/>
                <w:highlight w:val="none"/>
              </w:rPr>
            </w:pPr>
            <w:r>
              <w:rPr>
                <w:rFonts w:hint="eastAsia" w:ascii="宋体" w:hAnsi="宋体" w:cs="宋体"/>
                <w:bCs/>
                <w:szCs w:val="21"/>
                <w:highlight w:val="none"/>
              </w:rPr>
              <w:t>住所</w:t>
            </w:r>
          </w:p>
        </w:tc>
        <w:tc>
          <w:tcPr>
            <w:tcW w:w="3210" w:type="dxa"/>
            <w:vAlign w:val="center"/>
          </w:tcPr>
          <w:p>
            <w:pPr>
              <w:widowControl/>
              <w:jc w:val="center"/>
              <w:rPr>
                <w:rFonts w:hint="eastAsia" w:ascii="宋体" w:hAnsi="宋体" w:eastAsia="宋体" w:cs="宋体"/>
                <w:color w:val="000000"/>
                <w:kern w:val="0"/>
                <w:highlight w:val="none"/>
                <w:lang w:eastAsia="zh-CN"/>
              </w:rPr>
            </w:pPr>
            <w:r>
              <w:rPr>
                <w:rFonts w:hint="eastAsia" w:ascii="宋体" w:hAnsi="宋体" w:cs="宋体"/>
                <w:bCs/>
                <w:szCs w:val="21"/>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tcPr>
          <w:p>
            <w:pPr>
              <w:spacing w:line="360" w:lineRule="auto"/>
              <w:jc w:val="left"/>
              <w:rPr>
                <w:rFonts w:ascii="宋体" w:hAnsi="宋体" w:cs="宋体"/>
                <w:bCs/>
                <w:szCs w:val="21"/>
                <w:highlight w:val="none"/>
              </w:rPr>
            </w:pPr>
          </w:p>
        </w:tc>
        <w:tc>
          <w:tcPr>
            <w:tcW w:w="2475" w:type="dxa"/>
            <w:vMerge w:val="continue"/>
            <w:vAlign w:val="center"/>
          </w:tcPr>
          <w:p>
            <w:pPr>
              <w:widowControl/>
              <w:jc w:val="center"/>
              <w:rPr>
                <w:rFonts w:hint="eastAsia" w:ascii="宋体" w:hAnsi="宋体" w:cs="宋体"/>
                <w:color w:val="000000"/>
                <w:kern w:val="0"/>
                <w:highlight w:val="none"/>
              </w:rPr>
            </w:pPr>
          </w:p>
        </w:tc>
        <w:tc>
          <w:tcPr>
            <w:tcW w:w="1155" w:type="dxa"/>
            <w:vAlign w:val="center"/>
          </w:tcPr>
          <w:p>
            <w:pPr>
              <w:spacing w:line="360" w:lineRule="auto"/>
              <w:jc w:val="center"/>
              <w:rPr>
                <w:rFonts w:hint="eastAsia" w:ascii="宋体" w:hAnsi="宋体" w:cs="宋体"/>
                <w:color w:val="000000"/>
                <w:kern w:val="0"/>
                <w:highlight w:val="none"/>
              </w:rPr>
            </w:pPr>
            <w:r>
              <w:rPr>
                <w:rFonts w:hint="eastAsia" w:ascii="宋体" w:hAnsi="宋体" w:cs="宋体"/>
                <w:bCs/>
                <w:szCs w:val="21"/>
                <w:highlight w:val="none"/>
              </w:rPr>
              <w:t>客服热线</w:t>
            </w:r>
          </w:p>
        </w:tc>
        <w:tc>
          <w:tcPr>
            <w:tcW w:w="3210" w:type="dxa"/>
            <w:vAlign w:val="center"/>
          </w:tcPr>
          <w:p>
            <w:pPr>
              <w:widowControl/>
              <w:jc w:val="center"/>
              <w:rPr>
                <w:rFonts w:hint="default" w:ascii="宋体" w:hAnsi="宋体" w:eastAsia="宋体" w:cs="宋体"/>
                <w:color w:val="000000"/>
                <w:kern w:val="0"/>
                <w:highlight w:val="none"/>
                <w:lang w:val="en-US" w:eastAsia="zh-CN"/>
              </w:rPr>
            </w:pPr>
            <w:r>
              <w:rPr>
                <w:rFonts w:hint="eastAsia" w:ascii="宋体" w:hAnsi="宋体" w:cs="宋体"/>
                <w:color w:val="000000"/>
                <w:kern w:val="0"/>
                <w:highlight w:val="none"/>
                <w:lang w:val="en-US" w:eastAsia="zh-CN"/>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tcPr>
          <w:p>
            <w:pPr>
              <w:spacing w:line="360" w:lineRule="auto"/>
              <w:jc w:val="left"/>
              <w:rPr>
                <w:rFonts w:ascii="宋体" w:hAnsi="宋体" w:cs="宋体"/>
                <w:bCs/>
                <w:szCs w:val="21"/>
                <w:highlight w:val="none"/>
              </w:rPr>
            </w:pPr>
          </w:p>
        </w:tc>
        <w:tc>
          <w:tcPr>
            <w:tcW w:w="2475" w:type="dxa"/>
            <w:vMerge w:val="restart"/>
            <w:vAlign w:val="center"/>
          </w:tcPr>
          <w:p>
            <w:pPr>
              <w:widowControl/>
              <w:jc w:val="center"/>
              <w:rPr>
                <w:rFonts w:ascii="宋体" w:hAnsi="宋体" w:cs="宋体"/>
                <w:bCs/>
                <w:szCs w:val="21"/>
                <w:highlight w:val="none"/>
              </w:rPr>
            </w:pPr>
            <w:r>
              <w:rPr>
                <w:rFonts w:hint="eastAsia" w:ascii="宋体" w:hAnsi="宋体" w:cs="宋体"/>
                <w:color w:val="000000"/>
                <w:kern w:val="0"/>
                <w:highlight w:val="none"/>
              </w:rPr>
              <w:t>杭银理财有限责任公司</w:t>
            </w:r>
          </w:p>
        </w:tc>
        <w:tc>
          <w:tcPr>
            <w:tcW w:w="1155" w:type="dxa"/>
            <w:vAlign w:val="center"/>
          </w:tcPr>
          <w:p>
            <w:pPr>
              <w:widowControl/>
              <w:jc w:val="center"/>
              <w:rPr>
                <w:rFonts w:hint="eastAsia" w:ascii="宋体" w:hAnsi="宋体" w:cs="宋体"/>
                <w:bCs/>
                <w:szCs w:val="21"/>
                <w:highlight w:val="none"/>
              </w:rPr>
            </w:pPr>
            <w:r>
              <w:rPr>
                <w:rFonts w:hint="eastAsia" w:ascii="宋体" w:hAnsi="宋体" w:cs="宋体"/>
                <w:color w:val="000000"/>
                <w:kern w:val="0"/>
                <w:highlight w:val="none"/>
              </w:rPr>
              <w:t>住所</w:t>
            </w:r>
          </w:p>
        </w:tc>
        <w:tc>
          <w:tcPr>
            <w:tcW w:w="3210" w:type="dxa"/>
            <w:vAlign w:val="center"/>
          </w:tcPr>
          <w:p>
            <w:pPr>
              <w:widowControl/>
              <w:jc w:val="center"/>
              <w:rPr>
                <w:rFonts w:hint="eastAsia" w:ascii="宋体" w:hAnsi="宋体" w:cs="宋体"/>
                <w:bCs/>
                <w:szCs w:val="21"/>
                <w:highlight w:val="none"/>
              </w:rPr>
            </w:pPr>
            <w:r>
              <w:rPr>
                <w:rFonts w:hint="eastAsia" w:ascii="宋体" w:hAnsi="宋体" w:cs="宋体"/>
                <w:color w:val="000000"/>
                <w:kern w:val="0"/>
                <w:highlight w:val="none"/>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tcPr>
          <w:p>
            <w:pPr>
              <w:spacing w:line="360" w:lineRule="auto"/>
              <w:jc w:val="left"/>
              <w:rPr>
                <w:rFonts w:ascii="宋体" w:hAnsi="宋体" w:cs="宋体"/>
                <w:bCs/>
                <w:szCs w:val="21"/>
                <w:highlight w:val="none"/>
              </w:rPr>
            </w:pPr>
          </w:p>
        </w:tc>
        <w:tc>
          <w:tcPr>
            <w:tcW w:w="2475" w:type="dxa"/>
            <w:vMerge w:val="continue"/>
            <w:vAlign w:val="center"/>
          </w:tcPr>
          <w:p>
            <w:pPr>
              <w:widowControl/>
              <w:jc w:val="left"/>
              <w:rPr>
                <w:rFonts w:ascii="宋体" w:hAnsi="宋体" w:cs="宋体"/>
                <w:bCs/>
                <w:szCs w:val="21"/>
                <w:highlight w:val="none"/>
              </w:rPr>
            </w:pPr>
          </w:p>
        </w:tc>
        <w:tc>
          <w:tcPr>
            <w:tcW w:w="1155" w:type="dxa"/>
            <w:vAlign w:val="center"/>
          </w:tcPr>
          <w:p>
            <w:pPr>
              <w:widowControl/>
              <w:jc w:val="center"/>
              <w:rPr>
                <w:rFonts w:hint="eastAsia" w:ascii="宋体" w:hAnsi="宋体" w:cs="宋体"/>
                <w:bCs/>
                <w:szCs w:val="21"/>
                <w:highlight w:val="none"/>
              </w:rPr>
            </w:pPr>
            <w:r>
              <w:rPr>
                <w:rFonts w:hint="eastAsia" w:ascii="宋体" w:hAnsi="宋体" w:cs="宋体"/>
                <w:color w:val="000000"/>
                <w:kern w:val="0"/>
                <w:highlight w:val="none"/>
              </w:rPr>
              <w:t>客服热线</w:t>
            </w:r>
          </w:p>
        </w:tc>
        <w:tc>
          <w:tcPr>
            <w:tcW w:w="3210" w:type="dxa"/>
            <w:vAlign w:val="center"/>
          </w:tcPr>
          <w:p>
            <w:pPr>
              <w:widowControl/>
              <w:jc w:val="center"/>
              <w:rPr>
                <w:rFonts w:hint="eastAsia" w:ascii="宋体" w:hAnsi="宋体" w:cs="宋体"/>
                <w:bCs/>
                <w:szCs w:val="21"/>
                <w:highlight w:val="none"/>
              </w:rPr>
            </w:pPr>
            <w:r>
              <w:rPr>
                <w:rFonts w:hint="eastAsia" w:ascii="宋体" w:hAnsi="宋体" w:cs="宋体"/>
                <w:color w:val="000000"/>
                <w:kern w:val="0"/>
                <w:highlight w:val="none"/>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销售机构职责</w:t>
            </w:r>
          </w:p>
        </w:tc>
        <w:tc>
          <w:tcPr>
            <w:tcW w:w="6840" w:type="dxa"/>
            <w:gridSpan w:val="3"/>
          </w:tcPr>
          <w:p>
            <w:pPr>
              <w:spacing w:line="360" w:lineRule="auto"/>
              <w:jc w:val="left"/>
              <w:rPr>
                <w:rFonts w:ascii="宋体" w:hAnsi="宋体" w:cs="宋体"/>
                <w:bCs/>
                <w:szCs w:val="21"/>
                <w:highlight w:val="none"/>
              </w:rPr>
            </w:pPr>
            <w:r>
              <w:rPr>
                <w:rFonts w:hint="eastAsia" w:ascii="宋体" w:hAnsi="宋体" w:cs="宋体"/>
                <w:bCs/>
                <w:szCs w:val="21"/>
                <w:highlight w:val="none"/>
              </w:rPr>
              <w:t>主要负责理财计划推广、投资者风险承受能力评估、投资者适当性管理、理财计划份额认购、申购及赎回办理。</w:t>
            </w:r>
          </w:p>
          <w:p>
            <w:pPr>
              <w:spacing w:line="360" w:lineRule="auto"/>
              <w:jc w:val="left"/>
              <w:rPr>
                <w:rFonts w:ascii="宋体" w:hAnsi="宋体" w:cs="宋体"/>
                <w:bCs/>
                <w:szCs w:val="21"/>
                <w:highlight w:val="none"/>
              </w:rPr>
            </w:pPr>
            <w:r>
              <w:rPr>
                <w:rFonts w:hint="eastAsia" w:ascii="宋体" w:hAnsi="宋体" w:cs="宋体"/>
                <w:bCs/>
                <w:szCs w:val="21"/>
                <w:highlight w:val="none"/>
              </w:rPr>
              <w:t>协助管理人负责与投资者签订理财计划合同、与投资者沟通及进行信息披露、接受投资者咨询和维护等销售服务。</w:t>
            </w:r>
          </w:p>
        </w:tc>
      </w:tr>
    </w:tbl>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本理财计划后续如新增/减少销售机构或销售机构信息变更，请以管理人最新公告</w:t>
      </w:r>
      <w:r>
        <w:rPr>
          <w:rFonts w:hint="eastAsia" w:ascii="宋体" w:hAnsi="宋体" w:cs="宋体"/>
          <w:bCs/>
          <w:color w:val="000000"/>
          <w:sz w:val="24"/>
          <w:highlight w:val="none"/>
          <w:lang w:eastAsia="zh-CN"/>
        </w:rPr>
        <w:t>或官方网站展示</w:t>
      </w:r>
      <w:r>
        <w:rPr>
          <w:rFonts w:hint="eastAsia" w:ascii="宋体" w:hAnsi="宋体" w:cs="宋体"/>
          <w:bCs/>
          <w:color w:val="000000"/>
          <w:sz w:val="24"/>
          <w:highlight w:val="none"/>
        </w:rPr>
        <w:t>为准。</w:t>
      </w:r>
    </w:p>
    <w:p>
      <w:pPr>
        <w:spacing w:line="360" w:lineRule="auto"/>
        <w:jc w:val="left"/>
        <w:rPr>
          <w:rFonts w:hint="eastAsia" w:ascii="宋体" w:hAnsi="宋体" w:cs="宋体"/>
          <w:bCs/>
          <w:sz w:val="24"/>
          <w:highlight w:val="none"/>
        </w:rPr>
      </w:pPr>
    </w:p>
    <w:p>
      <w:pPr>
        <w:numPr>
          <w:ilvl w:val="0"/>
          <w:numId w:val="25"/>
        </w:numPr>
        <w:spacing w:line="360" w:lineRule="auto"/>
        <w:jc w:val="left"/>
        <w:outlineLvl w:val="1"/>
        <w:rPr>
          <w:rFonts w:ascii="宋体" w:hAnsi="宋体" w:cs="宋体"/>
          <w:b/>
          <w:sz w:val="24"/>
          <w:highlight w:val="none"/>
        </w:rPr>
      </w:pPr>
      <w:r>
        <w:rPr>
          <w:rFonts w:hint="eastAsia" w:ascii="宋体" w:hAnsi="宋体" w:cs="宋体"/>
          <w:b/>
          <w:sz w:val="24"/>
          <w:highlight w:val="none"/>
        </w:rPr>
        <w:t>估值</w:t>
      </w:r>
    </w:p>
    <w:p>
      <w:pPr>
        <w:numPr>
          <w:ilvl w:val="0"/>
          <w:numId w:val="28"/>
        </w:numPr>
        <w:spacing w:line="360" w:lineRule="auto"/>
        <w:jc w:val="left"/>
        <w:outlineLvl w:val="2"/>
        <w:rPr>
          <w:rFonts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val="en-US" w:eastAsia="zh-CN"/>
        </w:rPr>
        <w:t>工作日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28"/>
        </w:numPr>
        <w:spacing w:line="360" w:lineRule="auto"/>
        <w:jc w:val="left"/>
        <w:outlineLvl w:val="2"/>
        <w:rPr>
          <w:rFonts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28"/>
        </w:numPr>
        <w:spacing w:line="360" w:lineRule="auto"/>
        <w:jc w:val="left"/>
        <w:outlineLvl w:val="2"/>
        <w:rPr>
          <w:rFonts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28"/>
        </w:numPr>
        <w:spacing w:line="360" w:lineRule="auto"/>
        <w:jc w:val="left"/>
        <w:outlineLvl w:val="2"/>
        <w:rPr>
          <w:rFonts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29"/>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货币市场工具类资产</w:t>
      </w:r>
    </w:p>
    <w:p>
      <w:pPr>
        <w:pStyle w:val="18"/>
        <w:adjustRightInd/>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银行存款及回购，以本金列示，按商定利率在实际持有期间内逐日计提利息。</w:t>
      </w:r>
    </w:p>
    <w:p>
      <w:pPr>
        <w:numPr>
          <w:ilvl w:val="0"/>
          <w:numId w:val="29"/>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债券及同业存单类资产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债券及同业存单类资产，按市价法估值。市价法不能确定公允价值的，采用估值技术进行估值。</w:t>
      </w:r>
    </w:p>
    <w:p>
      <w:pPr>
        <w:numPr>
          <w:ilvl w:val="0"/>
          <w:numId w:val="29"/>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债权类资产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债权类资产，按市价法估值。市价法不能确定其公允价值的，采用估值技术进行估值。</w:t>
      </w:r>
    </w:p>
    <w:p>
      <w:pPr>
        <w:numPr>
          <w:ilvl w:val="0"/>
          <w:numId w:val="29"/>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股权类资产</w:t>
      </w:r>
    </w:p>
    <w:p>
      <w:pPr>
        <w:numPr>
          <w:ilvl w:val="0"/>
          <w:numId w:val="3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上市流通股票按估值日其所在证券交易所的收盘价估值；估值日无交易，且最近交易日后未发生影响公允价值计量的重大事件的，以最近交易日的收盘价估值。</w:t>
      </w:r>
    </w:p>
    <w:p>
      <w:pPr>
        <w:numPr>
          <w:ilvl w:val="0"/>
          <w:numId w:val="3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未上市股票的估值：</w:t>
      </w:r>
    </w:p>
    <w:p>
      <w:pPr>
        <w:spacing w:line="360" w:lineRule="auto"/>
        <w:rPr>
          <w:rFonts w:hint="eastAsia" w:ascii="宋体" w:hAnsi="宋体"/>
          <w:sz w:val="24"/>
          <w:highlight w:val="none"/>
        </w:rPr>
      </w:pPr>
      <w:r>
        <w:rPr>
          <w:rFonts w:hint="eastAsia" w:ascii="宋体" w:hAnsi="宋体" w:cs="宋体"/>
          <w:bCs/>
          <w:color w:val="000000"/>
          <w:sz w:val="24"/>
          <w:highlight w:val="none"/>
        </w:rPr>
        <w:t xml:space="preserve">      1）</w:t>
      </w:r>
      <w:r>
        <w:rPr>
          <w:rFonts w:hint="eastAsia" w:ascii="宋体" w:hAnsi="宋体"/>
          <w:sz w:val="24"/>
          <w:highlight w:val="none"/>
        </w:rPr>
        <w:t>送股、转增股、配股和公开增发新股等发行未上市的股票，按估值日在证券交易所挂牌的同一股票的市价估值；</w:t>
      </w:r>
    </w:p>
    <w:p>
      <w:pPr>
        <w:spacing w:line="360" w:lineRule="auto"/>
        <w:rPr>
          <w:rFonts w:hint="eastAsia" w:ascii="宋体" w:hAnsi="宋体"/>
          <w:sz w:val="24"/>
          <w:highlight w:val="none"/>
        </w:rPr>
      </w:pPr>
      <w:r>
        <w:rPr>
          <w:rFonts w:hint="eastAsia" w:ascii="宋体" w:hAnsi="宋体"/>
          <w:sz w:val="24"/>
          <w:highlight w:val="none"/>
        </w:rPr>
        <w:t xml:space="preserve">      2）首次公开发行有明确锁定期的股票，同一股票在交易所上市后，按交易所上市的同一股票的市价估值；</w:t>
      </w:r>
    </w:p>
    <w:p>
      <w:pPr>
        <w:spacing w:line="360" w:lineRule="auto"/>
        <w:rPr>
          <w:rFonts w:hint="eastAsia" w:ascii="宋体" w:hAnsi="宋体"/>
          <w:sz w:val="24"/>
          <w:highlight w:val="none"/>
        </w:rPr>
      </w:pPr>
      <w:r>
        <w:rPr>
          <w:rFonts w:hint="eastAsia" w:ascii="宋体" w:hAnsi="宋体"/>
          <w:sz w:val="24"/>
          <w:highlight w:val="none"/>
        </w:rPr>
        <w:t xml:space="preserve">      3）首次发行未上市的股票，按发行价格进行估值；</w:t>
      </w:r>
    </w:p>
    <w:p>
      <w:pPr>
        <w:spacing w:line="360" w:lineRule="auto"/>
        <w:rPr>
          <w:rFonts w:hint="eastAsia" w:ascii="宋体" w:hAnsi="宋体"/>
          <w:sz w:val="24"/>
          <w:highlight w:val="none"/>
        </w:rPr>
      </w:pPr>
      <w:r>
        <w:rPr>
          <w:rFonts w:hint="eastAsia" w:ascii="宋体" w:hAnsi="宋体"/>
          <w:sz w:val="24"/>
          <w:highlight w:val="none"/>
        </w:rPr>
        <w:t xml:space="preserve">      4）因持有股票而享有的配股权，采用估值技术确定公允价值。</w:t>
      </w:r>
    </w:p>
    <w:p>
      <w:pPr>
        <w:numPr>
          <w:ilvl w:val="0"/>
          <w:numId w:val="3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非上市股权的估值：</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29"/>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基金、资产管理计划类资产</w:t>
      </w:r>
    </w:p>
    <w:p>
      <w:p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29"/>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8"/>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8"/>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以</w:t>
      </w:r>
      <w:r>
        <w:rPr>
          <w:rFonts w:hint="eastAsia" w:ascii="宋体" w:hAnsi="宋体" w:cs="宋体"/>
          <w:bCs/>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8"/>
        <w:tabs>
          <w:tab w:val="left" w:pos="0"/>
        </w:tabs>
        <w:spacing w:line="360" w:lineRule="auto"/>
        <w:ind w:firstLine="480" w:firstLineChars="200"/>
        <w:rPr>
          <w:rFonts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当理财计划管理人或托管人认为按上述方法对理财计划进行估值不能客观反映其公允价值的，可以在满足监管要求的前提下协商一致后按最能反映公允价值的价格估值，并自协商一致日后执行。</w:t>
      </w:r>
    </w:p>
    <w:p>
      <w:pPr>
        <w:pStyle w:val="18"/>
        <w:tabs>
          <w:tab w:val="left" w:pos="0"/>
        </w:tabs>
        <w:spacing w:line="360" w:lineRule="auto"/>
        <w:ind w:firstLine="482" w:firstLineChars="200"/>
        <w:rPr>
          <w:rFonts w:ascii="宋体" w:hAnsi="宋体" w:cs="宋体"/>
          <w:b/>
          <w:kern w:val="2"/>
          <w:highlight w:val="none"/>
        </w:rPr>
      </w:pPr>
      <w:r>
        <w:rPr>
          <w:rFonts w:hint="eastAsia" w:ascii="宋体" w:hAnsi="宋体" w:cs="宋体"/>
          <w:b/>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28"/>
        </w:numPr>
        <w:spacing w:line="360" w:lineRule="auto"/>
        <w:jc w:val="left"/>
        <w:outlineLvl w:val="2"/>
        <w:rPr>
          <w:rFonts w:ascii="宋体" w:hAnsi="宋体" w:cs="宋体"/>
          <w:b/>
          <w:sz w:val="24"/>
          <w:highlight w:val="none"/>
        </w:rPr>
      </w:pPr>
      <w:r>
        <w:rPr>
          <w:rFonts w:hint="eastAsia" w:ascii="宋体" w:hAnsi="宋体" w:cs="宋体"/>
          <w:b/>
          <w:sz w:val="24"/>
          <w:highlight w:val="none"/>
        </w:rPr>
        <w:t xml:space="preserve">估值差错处理 </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28"/>
        </w:numPr>
        <w:spacing w:line="360" w:lineRule="auto"/>
        <w:jc w:val="left"/>
        <w:outlineLvl w:val="2"/>
        <w:rPr>
          <w:rFonts w:ascii="宋体" w:hAnsi="宋体" w:cs="宋体"/>
          <w:b/>
          <w:sz w:val="24"/>
          <w:highlight w:val="none"/>
        </w:rPr>
      </w:pPr>
      <w:r>
        <w:rPr>
          <w:rFonts w:hint="eastAsia" w:ascii="宋体" w:hAnsi="宋体" w:cs="宋体"/>
          <w:b/>
          <w:sz w:val="24"/>
          <w:highlight w:val="none"/>
        </w:rPr>
        <w:t>暂停估值情形</w:t>
      </w:r>
    </w:p>
    <w:p>
      <w:pPr>
        <w:numPr>
          <w:ilvl w:val="0"/>
          <w:numId w:val="31"/>
        </w:numPr>
        <w:spacing w:line="360" w:lineRule="auto"/>
        <w:jc w:val="left"/>
        <w:rPr>
          <w:rFonts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理财计划投资所涉及的交易市场遇法定节假日或因其他原因暂停营业时暂停估值，该种情况理财计划估值日期提前到上一交易日。</w:t>
      </w:r>
    </w:p>
    <w:p>
      <w:pPr>
        <w:numPr>
          <w:ilvl w:val="0"/>
          <w:numId w:val="31"/>
        </w:numPr>
        <w:spacing w:line="360" w:lineRule="auto"/>
        <w:jc w:val="left"/>
        <w:rPr>
          <w:rFonts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1"/>
        </w:numPr>
        <w:spacing w:line="360" w:lineRule="auto"/>
        <w:jc w:val="left"/>
        <w:rPr>
          <w:rFonts w:ascii="宋体" w:hAnsi="宋体" w:cs="宋体"/>
          <w:bCs/>
          <w:color w:val="000000"/>
          <w:sz w:val="24"/>
          <w:highlight w:val="none"/>
        </w:rPr>
      </w:pPr>
      <w:r>
        <w:rPr>
          <w:rFonts w:hint="eastAsia" w:ascii="宋体" w:hAnsi="宋体" w:cs="宋体"/>
          <w:bCs/>
          <w:color w:val="000000"/>
          <w:sz w:val="24"/>
          <w:highlight w:val="none"/>
        </w:rPr>
        <w:t>当前一估值日理财计划资产净值50%以上的资产不具备活跃交易市场或者在活跃市场中无报价，且不能采用估值技术可靠计量公允价值时，管理人应当暂停该理财计划估值，并按照监管规定采取延缓支付赎回款项或暂停接受理财计划认购、赎回申请等措施。</w:t>
      </w:r>
    </w:p>
    <w:p>
      <w:pPr>
        <w:numPr>
          <w:ilvl w:val="0"/>
          <w:numId w:val="31"/>
        </w:numPr>
        <w:spacing w:line="360" w:lineRule="auto"/>
        <w:jc w:val="left"/>
        <w:rPr>
          <w:rFonts w:ascii="宋体" w:hAnsi="宋体" w:cs="宋体"/>
          <w:b/>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28"/>
        </w:numPr>
        <w:spacing w:line="360" w:lineRule="auto"/>
        <w:jc w:val="left"/>
        <w:outlineLvl w:val="2"/>
        <w:rPr>
          <w:rFonts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ascii="宋体" w:hAnsi="宋体" w:cs="宋体"/>
          <w:bCs/>
          <w:color w:val="000000"/>
          <w:sz w:val="24"/>
          <w:highlight w:val="none"/>
        </w:rPr>
      </w:pPr>
    </w:p>
    <w:p>
      <w:pPr>
        <w:numPr>
          <w:ilvl w:val="0"/>
          <w:numId w:val="25"/>
        </w:numPr>
        <w:spacing w:line="360" w:lineRule="auto"/>
        <w:jc w:val="left"/>
        <w:outlineLvl w:val="1"/>
        <w:rPr>
          <w:rFonts w:ascii="宋体" w:hAnsi="宋体" w:cs="宋体"/>
          <w:b/>
          <w:sz w:val="24"/>
          <w:highlight w:val="none"/>
        </w:rPr>
      </w:pPr>
      <w:r>
        <w:rPr>
          <w:rFonts w:hint="eastAsia" w:ascii="宋体" w:hAnsi="宋体" w:cs="宋体"/>
          <w:b/>
          <w:sz w:val="24"/>
          <w:highlight w:val="none"/>
        </w:rPr>
        <w:t>费用及税收</w:t>
      </w:r>
    </w:p>
    <w:p>
      <w:pPr>
        <w:numPr>
          <w:ilvl w:val="0"/>
          <w:numId w:val="32"/>
        </w:numPr>
        <w:spacing w:line="360" w:lineRule="auto"/>
        <w:jc w:val="left"/>
        <w:outlineLvl w:val="2"/>
        <w:rPr>
          <w:rFonts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本理财计划涉及费用包括销售服务费、托管费、固定管理费、认购费、申购费、赎回费、浮动管理费以及理财计划运作和清算中产生的其他费用等。</w:t>
      </w:r>
    </w:p>
    <w:p>
      <w:pPr>
        <w:numPr>
          <w:ilvl w:val="0"/>
          <w:numId w:val="32"/>
        </w:numPr>
        <w:spacing w:line="360" w:lineRule="auto"/>
        <w:jc w:val="left"/>
        <w:outlineLvl w:val="2"/>
        <w:rPr>
          <w:rFonts w:ascii="宋体" w:hAnsi="宋体" w:cs="宋体"/>
          <w:b/>
          <w:sz w:val="24"/>
          <w:highlight w:val="none"/>
        </w:rPr>
      </w:pPr>
      <w:r>
        <w:rPr>
          <w:rFonts w:hint="eastAsia" w:ascii="宋体" w:hAnsi="宋体" w:cs="宋体"/>
          <w:b/>
          <w:sz w:val="24"/>
          <w:highlight w:val="none"/>
        </w:rPr>
        <w:t>费用计提方法、标准及支付方式</w:t>
      </w:r>
    </w:p>
    <w:p>
      <w:pPr>
        <w:numPr>
          <w:ilvl w:val="0"/>
          <w:numId w:val="33"/>
        </w:numPr>
        <w:spacing w:line="360" w:lineRule="auto"/>
        <w:jc w:val="left"/>
        <w:rPr>
          <w:rFonts w:ascii="宋体" w:hAnsi="宋体" w:cs="宋体"/>
          <w:b/>
          <w:sz w:val="24"/>
          <w:highlight w:val="none"/>
        </w:rPr>
      </w:pPr>
      <w:r>
        <w:rPr>
          <w:rFonts w:hint="eastAsia" w:ascii="宋体" w:hAnsi="宋体" w:cs="宋体"/>
          <w:b/>
          <w:sz w:val="24"/>
          <w:highlight w:val="none"/>
        </w:rPr>
        <w:t>销售服务费</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szCs w:val="21"/>
          <w:highlight w:val="none"/>
        </w:rPr>
        <w:t>〖</w:t>
      </w:r>
      <w:r>
        <w:rPr>
          <w:rFonts w:hint="eastAsia" w:ascii="宋体" w:hAnsi="宋体" w:cs="宋体"/>
          <w:bCs/>
          <w:color w:val="000000"/>
          <w:sz w:val="24"/>
          <w:highlight w:val="none"/>
          <w:lang w:val="en-US" w:eastAsia="zh-CN"/>
        </w:rPr>
        <w:t>A份额</w:t>
      </w:r>
      <w:r>
        <w:rPr>
          <w:rFonts w:hint="eastAsia" w:ascii="宋体" w:hAnsi="宋体" w:cs="宋体"/>
          <w:szCs w:val="21"/>
          <w:highlight w:val="none"/>
        </w:rPr>
        <w:t>〗</w:t>
      </w:r>
      <w:r>
        <w:rPr>
          <w:rFonts w:hint="eastAsia" w:ascii="宋体" w:hAnsi="宋体" w:cs="宋体"/>
          <w:bCs/>
          <w:color w:val="000000"/>
          <w:sz w:val="24"/>
          <w:highlight w:val="none"/>
        </w:rPr>
        <w:t>年化销售服务费率为</w:t>
      </w:r>
      <w:r>
        <w:rPr>
          <w:rFonts w:hint="eastAsia" w:ascii="宋体" w:hAnsi="宋体" w:cs="宋体"/>
          <w:szCs w:val="21"/>
          <w:highlight w:val="none"/>
        </w:rPr>
        <w:t>〖</w:t>
      </w:r>
      <w:r>
        <w:rPr>
          <w:rFonts w:hint="eastAsia" w:ascii="宋体" w:hAnsi="宋体" w:cs="宋体"/>
          <w:sz w:val="24"/>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 w:val="24"/>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〗每日应计提的销售服务费</w:t>
      </w:r>
    </w:p>
    <w:p>
      <w:pPr>
        <w:spacing w:line="360" w:lineRule="auto"/>
        <w:ind w:firstLine="480" w:firstLineChars="200"/>
        <w:jc w:val="left"/>
        <w:rPr>
          <w:rFonts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销售服务费原则上按日计提。</w:t>
      </w:r>
    </w:p>
    <w:p>
      <w:pPr>
        <w:numPr>
          <w:ilvl w:val="0"/>
          <w:numId w:val="33"/>
        </w:numPr>
        <w:spacing w:line="360" w:lineRule="auto"/>
        <w:jc w:val="left"/>
        <w:rPr>
          <w:rFonts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 w:val="24"/>
          <w:highlight w:val="none"/>
        </w:rPr>
        <w:t>〖</w:t>
      </w:r>
      <w:r>
        <w:rPr>
          <w:rFonts w:hint="eastAsia" w:ascii="宋体" w:hAnsi="宋体" w:cs="宋体"/>
          <w:sz w:val="24"/>
          <w:highlight w:val="none"/>
          <w:lang w:val="en-US" w:eastAsia="zh-CN"/>
        </w:rPr>
        <w:t>0.025</w:t>
      </w:r>
      <w:r>
        <w:rPr>
          <w:rFonts w:hint="eastAsia" w:ascii="宋体" w:hAnsi="宋体" w:cs="宋体"/>
          <w:bCs/>
          <w:color w:val="000000"/>
          <w:sz w:val="24"/>
          <w:highlight w:val="none"/>
        </w:rPr>
        <w:t>%</w:t>
      </w:r>
      <w:r>
        <w:rPr>
          <w:rFonts w:hint="eastAsia" w:ascii="宋体" w:hAnsi="宋体" w:cs="宋体"/>
          <w:sz w:val="24"/>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 w:val="24"/>
          <w:highlight w:val="none"/>
        </w:rPr>
        <w:t>〖</w:t>
      </w:r>
      <w:r>
        <w:rPr>
          <w:rFonts w:hint="eastAsia" w:ascii="宋体" w:hAnsi="宋体" w:cs="宋体"/>
          <w:sz w:val="24"/>
          <w:highlight w:val="none"/>
          <w:lang w:val="en-US" w:eastAsia="zh-CN"/>
        </w:rPr>
        <w:t>0.025</w:t>
      </w:r>
      <w:r>
        <w:rPr>
          <w:rFonts w:hint="eastAsia" w:ascii="宋体" w:hAnsi="宋体" w:cs="宋体"/>
          <w:bCs/>
          <w:color w:val="000000"/>
          <w:sz w:val="24"/>
          <w:highlight w:val="none"/>
        </w:rPr>
        <w:t>%</w:t>
      </w:r>
      <w:r>
        <w:rPr>
          <w:rFonts w:hint="eastAsia" w:ascii="宋体" w:hAnsi="宋体" w:cs="宋体"/>
          <w:sz w:val="24"/>
          <w:highlight w:val="none"/>
        </w:rPr>
        <w:t>〗</w:t>
      </w:r>
      <w:r>
        <w:rPr>
          <w:rFonts w:hint="eastAsia" w:ascii="宋体" w:hAnsi="宋体" w:cs="宋体"/>
          <w:bCs/>
          <w:color w:val="000000"/>
          <w:sz w:val="24"/>
          <w:highlight w:val="none"/>
        </w:rPr>
        <w:t>/365</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E为本理财计划</w:t>
      </w:r>
      <w:r>
        <w:rPr>
          <w:rFonts w:hint="eastAsia" w:ascii="宋体" w:hAnsi="宋体" w:cs="宋体"/>
          <w:szCs w:val="21"/>
          <w:highlight w:val="none"/>
        </w:rPr>
        <w:t>〖</w:t>
      </w:r>
      <w:r>
        <w:rPr>
          <w:rFonts w:hint="eastAsia" w:ascii="宋体" w:hAnsi="宋体" w:cs="宋体"/>
          <w:bCs/>
          <w:color w:val="000000"/>
          <w:sz w:val="24"/>
          <w:highlight w:val="none"/>
        </w:rPr>
        <w:t>前一日资产净值</w:t>
      </w:r>
      <w:r>
        <w:rPr>
          <w:rFonts w:hint="eastAsia" w:ascii="宋体" w:hAnsi="宋体" w:cs="宋体"/>
          <w:szCs w:val="21"/>
          <w:highlight w:val="none"/>
        </w:rPr>
        <w:t>〗</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33"/>
        </w:numPr>
        <w:spacing w:line="360" w:lineRule="auto"/>
        <w:jc w:val="left"/>
        <w:rPr>
          <w:rFonts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〗年化固定管理费率为</w:t>
      </w:r>
      <w:r>
        <w:rPr>
          <w:rFonts w:hint="eastAsia" w:ascii="宋体" w:hAnsi="宋体" w:cs="宋体"/>
          <w:sz w:val="24"/>
          <w:highlight w:val="none"/>
        </w:rPr>
        <w:t>〖</w:t>
      </w:r>
      <w:r>
        <w:rPr>
          <w:rFonts w:hint="eastAsia" w:ascii="宋体" w:hAnsi="宋体" w:cs="宋体"/>
          <w:sz w:val="24"/>
          <w:highlight w:val="none"/>
          <w:lang w:val="en-US" w:eastAsia="zh-CN"/>
        </w:rPr>
        <w:t>0.20</w:t>
      </w:r>
      <w:r>
        <w:rPr>
          <w:rFonts w:hint="eastAsia" w:ascii="宋体" w:hAnsi="宋体" w:cs="宋体"/>
          <w:bCs/>
          <w:color w:val="000000"/>
          <w:sz w:val="24"/>
          <w:highlight w:val="none"/>
        </w:rPr>
        <w:t>%</w:t>
      </w:r>
      <w:r>
        <w:rPr>
          <w:rFonts w:hint="eastAsia" w:ascii="宋体" w:hAnsi="宋体" w:cs="宋体"/>
          <w:sz w:val="24"/>
          <w:highlight w:val="none"/>
        </w:rPr>
        <w:t>〗</w:t>
      </w:r>
      <w:r>
        <w:rPr>
          <w:rFonts w:hint="eastAsia" w:ascii="宋体" w:hAnsi="宋体" w:cs="宋体"/>
          <w:sz w:val="24"/>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 w:val="24"/>
          <w:highlight w:val="none"/>
        </w:rPr>
        <w:t>〖</w:t>
      </w:r>
      <w:r>
        <w:rPr>
          <w:rFonts w:hint="eastAsia" w:ascii="宋体" w:hAnsi="宋体" w:cs="宋体"/>
          <w:sz w:val="24"/>
          <w:highlight w:val="none"/>
          <w:lang w:val="en-US" w:eastAsia="zh-CN"/>
        </w:rPr>
        <w:t>0.20</w:t>
      </w:r>
      <w:r>
        <w:rPr>
          <w:rFonts w:hint="eastAsia" w:ascii="宋体" w:hAnsi="宋体" w:cs="宋体"/>
          <w:bCs/>
          <w:color w:val="000000"/>
          <w:sz w:val="24"/>
          <w:highlight w:val="none"/>
        </w:rPr>
        <w:t>%</w:t>
      </w:r>
      <w:r>
        <w:rPr>
          <w:rFonts w:hint="eastAsia" w:ascii="宋体" w:hAnsi="宋体" w:cs="宋体"/>
          <w:sz w:val="24"/>
          <w:highlight w:val="none"/>
        </w:rPr>
        <w:t>〗</w:t>
      </w:r>
      <w:r>
        <w:rPr>
          <w:rFonts w:hint="eastAsia" w:ascii="宋体" w:hAnsi="宋体" w:cs="宋体"/>
          <w:bCs/>
          <w:color w:val="000000"/>
          <w:sz w:val="24"/>
          <w:highlight w:val="none"/>
        </w:rPr>
        <w:t>/365</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〗每日应计提的管理费</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固定管理费原则上按日计提。理财计划实际运作结果不达业绩比较基准</w:t>
      </w:r>
      <w:r>
        <w:rPr>
          <w:rFonts w:hint="eastAsia" w:ascii="宋体" w:hAnsi="宋体" w:cs="宋体"/>
          <w:bCs/>
          <w:color w:val="000000"/>
          <w:sz w:val="24"/>
          <w:highlight w:val="none"/>
          <w:lang w:eastAsia="zh-CN"/>
        </w:rPr>
        <w:t>下限</w:t>
      </w:r>
      <w:r>
        <w:rPr>
          <w:rFonts w:hint="eastAsia" w:ascii="宋体" w:hAnsi="宋体" w:cs="宋体"/>
          <w:bCs/>
          <w:color w:val="000000"/>
          <w:sz w:val="24"/>
          <w:highlight w:val="none"/>
        </w:rPr>
        <w:t>时，管理人有权减免固定管理费。</w:t>
      </w:r>
    </w:p>
    <w:p>
      <w:pPr>
        <w:numPr>
          <w:ilvl w:val="0"/>
          <w:numId w:val="33"/>
        </w:numPr>
        <w:spacing w:line="360" w:lineRule="auto"/>
        <w:jc w:val="left"/>
        <w:rPr>
          <w:rFonts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4"/>
        </w:numPr>
        <w:spacing w:line="360" w:lineRule="auto"/>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4"/>
        </w:numPr>
        <w:spacing w:line="360" w:lineRule="auto"/>
        <w:jc w:val="left"/>
        <w:rPr>
          <w:rFonts w:ascii="宋体" w:hAnsi="宋体" w:cs="宋体"/>
          <w:b/>
          <w:sz w:val="24"/>
          <w:highlight w:val="none"/>
        </w:rPr>
      </w:pPr>
      <w:r>
        <w:rPr>
          <w:rFonts w:hint="eastAsia" w:ascii="宋体" w:hAnsi="宋体" w:cs="宋体"/>
          <w:b/>
          <w:sz w:val="24"/>
          <w:highlight w:val="none"/>
        </w:rPr>
        <w:t>赎回费</w:t>
      </w:r>
    </w:p>
    <w:p>
      <w:pPr>
        <w:numPr>
          <w:ilvl w:val="0"/>
          <w:numId w:val="0"/>
        </w:num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5"/>
        </w:numPr>
        <w:spacing w:line="360" w:lineRule="auto"/>
        <w:jc w:val="left"/>
        <w:rPr>
          <w:rFonts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本理财计划免除浮动管理费。</w:t>
      </w:r>
    </w:p>
    <w:p>
      <w:pPr>
        <w:numPr>
          <w:ilvl w:val="0"/>
          <w:numId w:val="36"/>
        </w:numPr>
        <w:spacing w:line="360" w:lineRule="auto"/>
        <w:jc w:val="left"/>
        <w:rPr>
          <w:rFonts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37"/>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37"/>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37"/>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37"/>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37"/>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37"/>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jc w:val="left"/>
        <w:rPr>
          <w:rFonts w:ascii="宋体" w:hAnsi="宋体" w:cs="宋体"/>
          <w:bCs/>
          <w:sz w:val="24"/>
          <w:highlight w:val="none"/>
        </w:rPr>
      </w:pPr>
      <w:r>
        <w:rPr>
          <w:rFonts w:hint="eastAsia" w:ascii="宋体" w:hAnsi="宋体" w:cs="宋体"/>
          <w:bCs/>
          <w:sz w:val="24"/>
          <w:highlight w:val="none"/>
        </w:rPr>
        <w:t xml:space="preserve">  </w:t>
      </w:r>
      <w:r>
        <w:rPr>
          <w:rFonts w:hint="eastAsia" w:ascii="宋体" w:hAnsi="宋体" w:cs="宋体"/>
          <w:b/>
          <w:sz w:val="24"/>
          <w:highlight w:val="none"/>
        </w:rPr>
        <w:t xml:space="preserve">  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38"/>
        </w:numPr>
        <w:spacing w:line="360" w:lineRule="auto"/>
        <w:jc w:val="left"/>
        <w:outlineLvl w:val="2"/>
        <w:rPr>
          <w:rFonts w:ascii="宋体" w:hAnsi="宋体" w:cs="宋体"/>
          <w:b/>
          <w:sz w:val="24"/>
          <w:highlight w:val="none"/>
        </w:rPr>
      </w:pPr>
      <w:r>
        <w:rPr>
          <w:rFonts w:hint="eastAsia" w:ascii="宋体" w:hAnsi="宋体" w:cs="宋体"/>
          <w:b/>
          <w:sz w:val="24"/>
          <w:highlight w:val="none"/>
        </w:rPr>
        <w:t>税收说明</w:t>
      </w:r>
    </w:p>
    <w:p>
      <w:pPr>
        <w:numPr>
          <w:ilvl w:val="0"/>
          <w:numId w:val="39"/>
        </w:numPr>
        <w:spacing w:line="360" w:lineRule="auto"/>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39"/>
        </w:numPr>
        <w:spacing w:line="360" w:lineRule="auto"/>
        <w:jc w:val="left"/>
        <w:rPr>
          <w:rFonts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39"/>
        </w:numPr>
        <w:spacing w:line="360" w:lineRule="auto"/>
        <w:jc w:val="left"/>
        <w:rPr>
          <w:rFonts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ascii="宋体" w:hAnsi="宋体" w:cs="宋体"/>
          <w:b/>
          <w:sz w:val="24"/>
          <w:highlight w:val="none"/>
        </w:rPr>
      </w:pPr>
    </w:p>
    <w:p>
      <w:pPr>
        <w:numPr>
          <w:ilvl w:val="0"/>
          <w:numId w:val="25"/>
        </w:numPr>
        <w:spacing w:line="360" w:lineRule="auto"/>
        <w:jc w:val="left"/>
        <w:outlineLvl w:val="1"/>
        <w:rPr>
          <w:rFonts w:ascii="宋体" w:hAnsi="宋体" w:cs="宋体"/>
          <w:b/>
          <w:sz w:val="24"/>
          <w:highlight w:val="none"/>
        </w:rPr>
      </w:pPr>
      <w:r>
        <w:rPr>
          <w:rFonts w:hint="eastAsia" w:ascii="宋体" w:hAnsi="宋体" w:cs="宋体"/>
          <w:b/>
          <w:sz w:val="24"/>
          <w:highlight w:val="none"/>
        </w:rPr>
        <w:t>收益计算</w:t>
      </w:r>
    </w:p>
    <w:p>
      <w:pPr>
        <w:numPr>
          <w:ilvl w:val="0"/>
          <w:numId w:val="40"/>
        </w:numPr>
        <w:spacing w:line="360" w:lineRule="auto"/>
        <w:jc w:val="left"/>
        <w:outlineLvl w:val="2"/>
        <w:rPr>
          <w:rFonts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投资者理财收益＝赎回份额×确认日（提前终止日）前一日单位净值+份额持有期间累计分红</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如有</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-认购或申购金额</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份额=认购或申购金额/</w:t>
      </w:r>
      <w:r>
        <w:rPr>
          <w:rFonts w:hint="eastAsia" w:ascii="宋体" w:hAnsi="宋体" w:cs="宋体"/>
          <w:bCs/>
          <w:color w:val="000000"/>
          <w:sz w:val="24"/>
          <w:highlight w:val="none"/>
          <w:lang w:val="en-US" w:eastAsia="zh-CN"/>
        </w:rPr>
        <w:t>认购</w:t>
      </w:r>
      <w:r>
        <w:rPr>
          <w:rFonts w:hint="eastAsia" w:ascii="宋体" w:hAnsi="宋体" w:cs="宋体"/>
          <w:bCs/>
          <w:color w:val="000000"/>
          <w:sz w:val="24"/>
          <w:highlight w:val="none"/>
        </w:rPr>
        <w:t>或确认日前一日的单位净值</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确认日（提前终止日）前一日单位净值为提取相关费用及税费后的单位理财计划份额净值。</w:t>
      </w:r>
    </w:p>
    <w:p>
      <w:pPr>
        <w:numPr>
          <w:ilvl w:val="0"/>
          <w:numId w:val="40"/>
        </w:numPr>
        <w:spacing w:line="360" w:lineRule="auto"/>
        <w:jc w:val="left"/>
        <w:outlineLvl w:val="2"/>
        <w:rPr>
          <w:rFonts w:ascii="宋体" w:hAnsi="宋体" w:cs="宋体"/>
          <w:b/>
          <w:sz w:val="24"/>
          <w:highlight w:val="none"/>
        </w:rPr>
      </w:pPr>
      <w:r>
        <w:rPr>
          <w:rFonts w:hint="eastAsia" w:ascii="宋体" w:hAnsi="宋体" w:cs="宋体"/>
          <w:b/>
          <w:sz w:val="24"/>
          <w:highlight w:val="none"/>
        </w:rPr>
        <w:t>示例说明</w:t>
      </w:r>
    </w:p>
    <w:p>
      <w:pPr>
        <w:numPr>
          <w:ilvl w:val="0"/>
          <w:numId w:val="41"/>
        </w:numPr>
        <w:spacing w:line="360" w:lineRule="auto"/>
        <w:jc w:val="left"/>
        <w:rPr>
          <w:rFonts w:ascii="宋体" w:hAnsi="宋体" w:cs="宋体"/>
          <w:b/>
          <w:sz w:val="24"/>
          <w:highlight w:val="none"/>
        </w:rPr>
      </w:pPr>
      <w:r>
        <w:rPr>
          <w:rFonts w:hint="eastAsia" w:ascii="宋体" w:hAnsi="宋体" w:cs="宋体"/>
          <w:b/>
          <w:sz w:val="24"/>
          <w:highlight w:val="none"/>
        </w:rPr>
        <w:t>示例一</w:t>
      </w:r>
    </w:p>
    <w:p>
      <w:pPr>
        <w:spacing w:line="360" w:lineRule="auto"/>
        <w:ind w:firstLine="482" w:firstLineChars="200"/>
        <w:jc w:val="left"/>
        <w:rPr>
          <w:rFonts w:ascii="宋体" w:hAnsi="宋体" w:cs="宋体"/>
          <w:b/>
          <w:sz w:val="24"/>
          <w:highlight w:val="none"/>
        </w:rPr>
      </w:pPr>
      <w:r>
        <w:rPr>
          <w:rFonts w:hint="eastAsia" w:ascii="宋体" w:hAnsi="宋体" w:cs="宋体"/>
          <w:b/>
          <w:color w:val="000000"/>
          <w:sz w:val="24"/>
          <w:highlight w:val="none"/>
        </w:rPr>
        <w:t>扣除托管费、固定管理费、销售服务费（如有）后，投资产生盈利。</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〗为例，假设购买时理财计划净值为1.00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元，折算份额为100,000.00份，假设投资理财计划364天。赎回时扣除托管费、固定管理费、销售服务费后，如理财计划单位净值为1.02</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，期间无分红，此时，(1.0</w:t>
      </w:r>
      <w:r>
        <w:rPr>
          <w:rFonts w:hint="eastAsia" w:ascii="宋体" w:hAnsi="宋体" w:cs="宋体"/>
          <w:bCs/>
          <w:color w:val="000000"/>
          <w:sz w:val="24"/>
          <w:highlight w:val="none"/>
          <w:lang w:val="en-US" w:eastAsia="zh-CN"/>
        </w:rPr>
        <w:t>25</w:t>
      </w:r>
      <w:r>
        <w:rPr>
          <w:rFonts w:hint="eastAsia" w:ascii="宋体" w:hAnsi="宋体" w:cs="宋体"/>
          <w:bCs/>
          <w:color w:val="000000"/>
          <w:sz w:val="24"/>
          <w:highlight w:val="none"/>
        </w:rPr>
        <w:t>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-1)×365/364=</w:t>
      </w:r>
      <w:r>
        <w:rPr>
          <w:rFonts w:hint="eastAsia" w:ascii="宋体" w:hAnsi="宋体" w:cs="宋体"/>
          <w:bCs/>
          <w:color w:val="000000"/>
          <w:sz w:val="24"/>
          <w:highlight w:val="none"/>
          <w:lang w:val="en-US" w:eastAsia="zh-CN"/>
        </w:rPr>
        <w:t>2.5</w:t>
      </w:r>
      <w:r>
        <w:rPr>
          <w:rFonts w:hint="eastAsia" w:ascii="宋体" w:hAnsi="宋体" w:cs="宋体"/>
          <w:bCs/>
          <w:color w:val="000000"/>
          <w:sz w:val="24"/>
          <w:highlight w:val="none"/>
        </w:rPr>
        <w:t>7%，即投资收益达到〖2</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7%〗，投资者最终收益为：100,000.00×(1.0</w:t>
      </w:r>
      <w:r>
        <w:rPr>
          <w:rFonts w:hint="eastAsia" w:ascii="宋体" w:hAnsi="宋体" w:cs="宋体"/>
          <w:bCs/>
          <w:color w:val="000000"/>
          <w:sz w:val="24"/>
          <w:highlight w:val="none"/>
          <w:lang w:val="en-US" w:eastAsia="zh-CN"/>
        </w:rPr>
        <w:t>25</w:t>
      </w:r>
      <w:r>
        <w:rPr>
          <w:rFonts w:hint="eastAsia" w:ascii="宋体" w:hAnsi="宋体" w:cs="宋体"/>
          <w:bCs/>
          <w:color w:val="000000"/>
          <w:sz w:val="24"/>
          <w:highlight w:val="none"/>
        </w:rPr>
        <w:t>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60.00（元）</w:t>
      </w:r>
    </w:p>
    <w:p>
      <w:pPr>
        <w:numPr>
          <w:ilvl w:val="0"/>
          <w:numId w:val="41"/>
        </w:numPr>
        <w:spacing w:line="360" w:lineRule="auto"/>
        <w:jc w:val="left"/>
        <w:rPr>
          <w:rFonts w:ascii="宋体" w:hAnsi="宋体" w:cs="宋体"/>
          <w:b/>
          <w:sz w:val="24"/>
          <w:highlight w:val="none"/>
        </w:rPr>
      </w:pPr>
      <w:r>
        <w:rPr>
          <w:rFonts w:hint="eastAsia" w:ascii="宋体" w:hAnsi="宋体" w:cs="宋体"/>
          <w:b/>
          <w:sz w:val="24"/>
          <w:highlight w:val="none"/>
        </w:rPr>
        <w:t>示例二</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扣除托管费、固定管理费、销售服务费（如有）后，投资发生亏损。</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〗为例，假设购买时理财计划净值为1.00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元，折算份额为100,000.00份，假设投资理财计划364天。赎回时扣除托管费、固定管理费、销售服务费后，如理财计划单位净值为0.9975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，期间无分红，投资者最终收益为：100,000.00×（0.9975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）=-250.00（元）。</w:t>
      </w:r>
    </w:p>
    <w:p>
      <w:pPr>
        <w:numPr>
          <w:ilvl w:val="0"/>
          <w:numId w:val="40"/>
        </w:numPr>
        <w:spacing w:line="360" w:lineRule="auto"/>
        <w:jc w:val="left"/>
        <w:outlineLvl w:val="2"/>
        <w:rPr>
          <w:rFonts w:ascii="宋体" w:hAnsi="宋体" w:cs="宋体"/>
          <w:b/>
          <w:sz w:val="24"/>
          <w:highlight w:val="none"/>
        </w:rPr>
      </w:pPr>
      <w:r>
        <w:rPr>
          <w:rFonts w:hint="eastAsia" w:ascii="宋体" w:hAnsi="宋体" w:cs="宋体"/>
          <w:b/>
          <w:sz w:val="24"/>
          <w:highlight w:val="none"/>
        </w:rPr>
        <w:t>最不利情况分析</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由于市场波动导致投资资产贬值或者投资资产发生信用风险导致相应损失，使理财计划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2" w:firstLineChars="200"/>
        <w:jc w:val="left"/>
        <w:rPr>
          <w:rFonts w:hint="eastAsia" w:ascii="宋体" w:hAnsi="宋体" w:cs="宋体"/>
          <w:b/>
          <w:color w:val="000000"/>
          <w:sz w:val="24"/>
          <w:highlight w:val="none"/>
        </w:rPr>
      </w:pPr>
    </w:p>
    <w:p>
      <w:pPr>
        <w:numPr>
          <w:ilvl w:val="0"/>
          <w:numId w:val="25"/>
        </w:numPr>
        <w:spacing w:line="360" w:lineRule="auto"/>
        <w:jc w:val="left"/>
        <w:outlineLvl w:val="1"/>
        <w:rPr>
          <w:rFonts w:ascii="宋体" w:hAnsi="宋体" w:cs="宋体"/>
          <w:b/>
          <w:sz w:val="24"/>
          <w:highlight w:val="none"/>
        </w:rPr>
      </w:pPr>
      <w:r>
        <w:rPr>
          <w:rFonts w:hint="eastAsia" w:ascii="宋体" w:hAnsi="宋体" w:cs="宋体"/>
          <w:b/>
          <w:sz w:val="24"/>
          <w:highlight w:val="none"/>
        </w:rPr>
        <w:t>交易规则</w:t>
      </w:r>
    </w:p>
    <w:p>
      <w:pPr>
        <w:numPr>
          <w:ilvl w:val="0"/>
          <w:numId w:val="42"/>
        </w:numPr>
        <w:spacing w:line="360" w:lineRule="auto"/>
        <w:jc w:val="left"/>
        <w:outlineLvl w:val="2"/>
        <w:rPr>
          <w:rFonts w:ascii="宋体" w:hAnsi="宋体" w:cs="宋体"/>
          <w:b/>
          <w:sz w:val="24"/>
          <w:highlight w:val="none"/>
        </w:rPr>
      </w:pPr>
      <w:r>
        <w:rPr>
          <w:rFonts w:hint="eastAsia" w:ascii="宋体" w:hAnsi="宋体" w:cs="宋体"/>
          <w:b/>
          <w:sz w:val="24"/>
          <w:highlight w:val="none"/>
        </w:rPr>
        <w:t>认购</w:t>
      </w:r>
    </w:p>
    <w:p>
      <w:pPr>
        <w:numPr>
          <w:ilvl w:val="0"/>
          <w:numId w:val="43"/>
        </w:numPr>
        <w:spacing w:line="360" w:lineRule="auto"/>
        <w:jc w:val="left"/>
        <w:rPr>
          <w:rFonts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p>
    <w:p>
      <w:pPr>
        <w:numPr>
          <w:ilvl w:val="0"/>
          <w:numId w:val="43"/>
        </w:numPr>
        <w:spacing w:line="360" w:lineRule="auto"/>
        <w:jc w:val="left"/>
        <w:rPr>
          <w:rFonts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3. 如新增认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2"/>
        </w:numPr>
        <w:spacing w:line="360" w:lineRule="auto"/>
        <w:jc w:val="left"/>
        <w:outlineLvl w:val="2"/>
        <w:rPr>
          <w:rFonts w:ascii="宋体" w:hAnsi="宋体" w:cs="宋体"/>
          <w:b/>
          <w:sz w:val="24"/>
          <w:highlight w:val="none"/>
        </w:rPr>
      </w:pPr>
      <w:r>
        <w:rPr>
          <w:rFonts w:hint="eastAsia" w:ascii="宋体" w:hAnsi="宋体" w:cs="宋体"/>
          <w:b/>
          <w:sz w:val="24"/>
          <w:highlight w:val="none"/>
        </w:rPr>
        <w:t>成立</w:t>
      </w:r>
    </w:p>
    <w:p>
      <w:pPr>
        <w:numPr>
          <w:ilvl w:val="0"/>
          <w:numId w:val="44"/>
        </w:numPr>
        <w:spacing w:line="360" w:lineRule="auto"/>
        <w:jc w:val="left"/>
        <w:rPr>
          <w:rFonts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4"/>
        </w:numPr>
        <w:spacing w:line="360" w:lineRule="auto"/>
        <w:jc w:val="left"/>
        <w:rPr>
          <w:rFonts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2"/>
        </w:numPr>
        <w:spacing w:line="360" w:lineRule="auto"/>
        <w:jc w:val="left"/>
        <w:outlineLvl w:val="2"/>
        <w:rPr>
          <w:rFonts w:ascii="宋体" w:hAnsi="宋体" w:cs="宋体"/>
          <w:b/>
          <w:sz w:val="24"/>
          <w:highlight w:val="none"/>
        </w:rPr>
      </w:pPr>
      <w:r>
        <w:rPr>
          <w:rFonts w:hint="eastAsia" w:ascii="宋体" w:hAnsi="宋体" w:cs="宋体"/>
          <w:b/>
          <w:sz w:val="24"/>
          <w:highlight w:val="none"/>
        </w:rPr>
        <w:t>申购及赎回</w:t>
      </w:r>
    </w:p>
    <w:p>
      <w:pPr>
        <w:numPr>
          <w:ilvl w:val="0"/>
          <w:numId w:val="45"/>
        </w:numPr>
        <w:spacing w:line="360" w:lineRule="auto"/>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46"/>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本理财计划在每个开放期的工作时间可进行申购</w:t>
      </w:r>
      <w:r>
        <w:rPr>
          <w:rFonts w:hint="eastAsia" w:ascii="宋体" w:hAnsi="宋体" w:cs="宋体"/>
          <w:bCs/>
          <w:sz w:val="24"/>
          <w:highlight w:val="none"/>
          <w:lang w:val="en-US" w:eastAsia="zh-CN"/>
        </w:rPr>
        <w:t>、赎回和撤单申请</w:t>
      </w:r>
      <w:r>
        <w:rPr>
          <w:rFonts w:hint="eastAsia" w:ascii="宋体" w:hAnsi="宋体" w:cs="宋体"/>
          <w:bCs/>
          <w:sz w:val="24"/>
          <w:highlight w:val="none"/>
        </w:rPr>
        <w:t>，申购</w:t>
      </w:r>
      <w:r>
        <w:rPr>
          <w:rFonts w:hint="eastAsia" w:ascii="宋体" w:hAnsi="宋体" w:cs="宋体"/>
          <w:bCs/>
          <w:sz w:val="24"/>
          <w:highlight w:val="none"/>
          <w:lang w:val="en-US" w:eastAsia="zh-CN"/>
        </w:rPr>
        <w:t>和赎回</w:t>
      </w:r>
      <w:r>
        <w:rPr>
          <w:rFonts w:hint="eastAsia" w:ascii="宋体" w:hAnsi="宋体" w:cs="宋体"/>
          <w:bCs/>
          <w:sz w:val="24"/>
          <w:highlight w:val="none"/>
        </w:rPr>
        <w:t>申请将在确认日进行确认，即开放期后的第〖1〗个交易日进行确认。</w:t>
      </w:r>
    </w:p>
    <w:p>
      <w:pPr>
        <w:numPr>
          <w:ilvl w:val="0"/>
          <w:numId w:val="4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工作时间为每个交易日上午〖9:00〗至下午〖</w:t>
      </w:r>
      <w:r>
        <w:rPr>
          <w:rFonts w:hint="eastAsia" w:ascii="宋体" w:hAnsi="宋体" w:cs="宋体"/>
          <w:bCs/>
          <w:sz w:val="24"/>
          <w:highlight w:val="none"/>
          <w:lang w:eastAsia="zh-CN"/>
        </w:rPr>
        <w:t>1</w:t>
      </w:r>
      <w:r>
        <w:rPr>
          <w:rFonts w:hint="eastAsia" w:ascii="宋体" w:hAnsi="宋体" w:cs="宋体"/>
          <w:bCs/>
          <w:sz w:val="24"/>
          <w:highlight w:val="none"/>
          <w:lang w:val="en-US" w:eastAsia="zh-CN"/>
        </w:rPr>
        <w:t>7</w:t>
      </w:r>
      <w:r>
        <w:rPr>
          <w:rFonts w:hint="eastAsia" w:ascii="宋体" w:hAnsi="宋体" w:cs="宋体"/>
          <w:bCs/>
          <w:sz w:val="24"/>
          <w:highlight w:val="none"/>
          <w:lang w:eastAsia="zh-CN"/>
        </w:rPr>
        <w:t>:</w:t>
      </w:r>
      <w:r>
        <w:rPr>
          <w:rFonts w:hint="eastAsia" w:ascii="宋体" w:hAnsi="宋体" w:cs="宋体"/>
          <w:bCs/>
          <w:sz w:val="24"/>
          <w:highlight w:val="none"/>
          <w:lang w:val="en-US" w:eastAsia="zh-CN"/>
        </w:rPr>
        <w:t>00</w:t>
      </w:r>
      <w:r>
        <w:rPr>
          <w:rFonts w:hint="eastAsia" w:ascii="宋体" w:hAnsi="宋体" w:cs="宋体"/>
          <w:bCs/>
          <w:sz w:val="24"/>
          <w:highlight w:val="none"/>
        </w:rPr>
        <w:t>〗</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具体以销售机构销售要素为准</w:t>
      </w:r>
      <w:r>
        <w:rPr>
          <w:rFonts w:hint="eastAsia" w:ascii="宋体" w:hAnsi="宋体" w:cs="宋体"/>
          <w:bCs/>
          <w:color w:val="auto"/>
          <w:sz w:val="24"/>
          <w:szCs w:val="24"/>
          <w:highlight w:val="none"/>
          <w:lang w:eastAsia="zh-CN"/>
        </w:rPr>
        <w:t>）</w:t>
      </w:r>
      <w:r>
        <w:rPr>
          <w:rFonts w:hint="eastAsia" w:ascii="宋体" w:hAnsi="宋体" w:cs="宋体"/>
          <w:bCs/>
          <w:sz w:val="24"/>
          <w:highlight w:val="none"/>
        </w:rPr>
        <w:t>。</w:t>
      </w:r>
    </w:p>
    <w:p>
      <w:pPr>
        <w:numPr>
          <w:ilvl w:val="0"/>
          <w:numId w:val="46"/>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auto"/>
          <w:sz w:val="24"/>
          <w:szCs w:val="24"/>
          <w:highlight w:val="none"/>
        </w:rPr>
        <w:t>在开放期</w:t>
      </w:r>
      <w:r>
        <w:rPr>
          <w:rFonts w:hint="eastAsia" w:ascii="宋体" w:hAnsi="宋体" w:cs="宋体"/>
          <w:bCs/>
          <w:color w:val="auto"/>
          <w:sz w:val="24"/>
          <w:szCs w:val="24"/>
          <w:highlight w:val="none"/>
          <w:lang w:val="en-US" w:eastAsia="zh-CN"/>
        </w:rPr>
        <w:t>的</w:t>
      </w:r>
      <w:r>
        <w:rPr>
          <w:rFonts w:hint="eastAsia" w:ascii="宋体" w:hAnsi="宋体" w:cs="宋体"/>
          <w:bCs/>
          <w:color w:val="auto"/>
          <w:sz w:val="24"/>
          <w:szCs w:val="24"/>
          <w:highlight w:val="none"/>
        </w:rPr>
        <w:t>工作时间内提交的申购/赎回申请，将作为当日申请处理；在开放期</w:t>
      </w:r>
      <w:r>
        <w:rPr>
          <w:rFonts w:hint="eastAsia" w:ascii="宋体" w:hAnsi="宋体" w:cs="宋体"/>
          <w:bCs/>
          <w:color w:val="auto"/>
          <w:sz w:val="24"/>
          <w:szCs w:val="24"/>
          <w:highlight w:val="none"/>
          <w:lang w:val="en-US" w:eastAsia="zh-CN"/>
        </w:rPr>
        <w:t>的</w:t>
      </w:r>
      <w:r>
        <w:rPr>
          <w:rFonts w:hint="eastAsia" w:ascii="宋体" w:hAnsi="宋体" w:cs="宋体"/>
          <w:bCs/>
          <w:color w:val="auto"/>
          <w:sz w:val="24"/>
          <w:szCs w:val="24"/>
          <w:highlight w:val="none"/>
        </w:rPr>
        <w:t>工作时间结束后及非开放期提交的申购/赎回申请，将作为下一开放期的申请处理。</w:t>
      </w:r>
    </w:p>
    <w:p>
      <w:pPr>
        <w:numPr>
          <w:ilvl w:val="0"/>
          <w:numId w:val="4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如</w:t>
      </w:r>
      <w:r>
        <w:rPr>
          <w:rFonts w:hint="eastAsia" w:ascii="宋体" w:hAnsi="宋体" w:cs="宋体"/>
          <w:bCs/>
          <w:color w:val="000000"/>
          <w:sz w:val="24"/>
          <w:highlight w:val="none"/>
        </w:rPr>
        <w:t>新增申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5"/>
        </w:numPr>
        <w:spacing w:line="360" w:lineRule="auto"/>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赎回资金确认后，</w:t>
      </w:r>
      <w:r>
        <w:rPr>
          <w:rFonts w:hint="eastAsia" w:ascii="宋体" w:hAnsi="宋体" w:cs="宋体"/>
          <w:bCs/>
          <w:color w:val="auto"/>
          <w:sz w:val="24"/>
          <w:szCs w:val="24"/>
          <w:highlight w:val="none"/>
        </w:rPr>
        <w:t>最快</w:t>
      </w:r>
      <w:r>
        <w:rPr>
          <w:rFonts w:hint="eastAsia" w:ascii="宋体" w:hAnsi="宋体" w:cs="宋体"/>
          <w:bCs/>
          <w:color w:val="auto"/>
          <w:sz w:val="24"/>
          <w:szCs w:val="24"/>
          <w:highlight w:val="none"/>
          <w:lang w:val="en-US" w:eastAsia="zh-CN"/>
        </w:rPr>
        <w:t>于确认日当日</w:t>
      </w:r>
      <w:r>
        <w:rPr>
          <w:rFonts w:hint="eastAsia" w:ascii="宋体" w:hAnsi="宋体" w:cs="宋体"/>
          <w:bCs/>
          <w:color w:val="auto"/>
          <w:sz w:val="24"/>
          <w:szCs w:val="24"/>
          <w:highlight w:val="none"/>
        </w:rPr>
        <w:t>，最晚</w:t>
      </w:r>
      <w:r>
        <w:rPr>
          <w:rFonts w:hint="eastAsia" w:ascii="宋体" w:hAnsi="宋体" w:cs="宋体"/>
          <w:bCs/>
          <w:color w:val="auto"/>
          <w:sz w:val="24"/>
          <w:szCs w:val="24"/>
          <w:highlight w:val="none"/>
          <w:lang w:val="en-US" w:eastAsia="zh-CN"/>
        </w:rPr>
        <w:t>于确认日后</w:t>
      </w:r>
      <w:r>
        <w:rPr>
          <w:rFonts w:hint="eastAsia" w:ascii="宋体" w:hAnsi="宋体" w:cs="宋体"/>
          <w:bCs/>
          <w:sz w:val="24"/>
          <w:szCs w:val="24"/>
          <w:highlight w:val="none"/>
        </w:rPr>
        <w:t>〖</w:t>
      </w:r>
      <w:r>
        <w:rPr>
          <w:rFonts w:hint="eastAsia" w:ascii="宋体" w:hAnsi="宋体" w:cs="宋体"/>
          <w:bCs/>
          <w:sz w:val="24"/>
          <w:szCs w:val="24"/>
          <w:highlight w:val="none"/>
          <w:lang w:val="en-US" w:eastAsia="zh-CN"/>
        </w:rPr>
        <w:t>2</w:t>
      </w:r>
      <w:r>
        <w:rPr>
          <w:rFonts w:hint="eastAsia" w:ascii="宋体" w:hAnsi="宋体" w:cs="宋体"/>
          <w:bCs/>
          <w:sz w:val="24"/>
          <w:szCs w:val="24"/>
          <w:highlight w:val="none"/>
        </w:rPr>
        <w:t>〗</w:t>
      </w:r>
      <w:r>
        <w:rPr>
          <w:rFonts w:hint="eastAsia" w:ascii="宋体" w:hAnsi="宋体" w:cs="宋体"/>
          <w:bCs/>
          <w:color w:val="auto"/>
          <w:sz w:val="24"/>
          <w:szCs w:val="24"/>
          <w:highlight w:val="none"/>
        </w:rPr>
        <w:t>个交易日内</w:t>
      </w:r>
      <w:r>
        <w:rPr>
          <w:rFonts w:hint="eastAsia" w:ascii="宋体" w:hAnsi="宋体" w:cs="宋体"/>
          <w:bCs/>
          <w:sz w:val="24"/>
          <w:highlight w:val="none"/>
        </w:rPr>
        <w:t>（遇节假日顺延）理财资金与收益将一次性支付。如遇资金在途或法定工作日调整，实际资金到账日以公告为准。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5"/>
        </w:numPr>
        <w:spacing w:line="360" w:lineRule="auto"/>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4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47"/>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如连续2日（含）以上开放日发生巨额赎回，对于已经接受的赎回申请，管理人可以延缓支付赎回款项，但延缓期限不得超过20个工作日。</w:t>
      </w:r>
    </w:p>
    <w:p>
      <w:pPr>
        <w:numPr>
          <w:ilvl w:val="0"/>
          <w:numId w:val="47"/>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47"/>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4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在理财计划存续期内，管理人有权根据市场情况调整巨额赎回金额比例，并及时进行对外公告。</w:t>
      </w:r>
    </w:p>
    <w:p>
      <w:pPr>
        <w:numPr>
          <w:ilvl w:val="0"/>
          <w:numId w:val="45"/>
        </w:numPr>
        <w:spacing w:line="360" w:lineRule="auto"/>
        <w:jc w:val="left"/>
        <w:rPr>
          <w:rFonts w:hint="eastAsia" w:ascii="宋体" w:hAnsi="宋体" w:cs="宋体"/>
          <w:bCs/>
          <w:sz w:val="24"/>
          <w:highlight w:val="none"/>
        </w:rPr>
      </w:pPr>
      <w:r>
        <w:rPr>
          <w:rFonts w:hint="eastAsia" w:ascii="宋体" w:hAnsi="宋体" w:cs="宋体"/>
          <w:bCs/>
          <w:sz w:val="24"/>
          <w:highlight w:val="none"/>
        </w:rPr>
        <w:t>暂停申购、赎回及延期支付赎回的情形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发生以下情形，管理人可暂停接受全部或部分投资者的申购申请：</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理财计划资产规模过大，继续接受申购可能对理财计划业绩产生负面影响，从而损害现有份额持有人利益的情形时。</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当管理人认为某笔申购申请会有损于其他份额持有人利益的情形时。</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发生产品说明书约定的暂停估值的情形时。</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法律法规规定或监管机构认定的其他情形。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发生以下情形，对超出前一日终理财产品总份额10%的赎回申请，管理人可暂停接受全部或部分、延期办理投资者的赎回申请：</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理财计划发生巨额赎回情形时。</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当继续</w:t>
      </w:r>
      <w:r>
        <w:rPr>
          <w:rFonts w:ascii="宋体" w:hAnsi="宋体" w:cs="宋体"/>
          <w:bCs/>
          <w:sz w:val="24"/>
          <w:highlight w:val="none"/>
        </w:rPr>
        <w:t>接受赎回申请将损害存量投资者利益的情形</w:t>
      </w:r>
      <w:r>
        <w:rPr>
          <w:rFonts w:hint="eastAsia" w:ascii="宋体" w:hAnsi="宋体" w:cs="宋体"/>
          <w:bCs/>
          <w:sz w:val="24"/>
          <w:highlight w:val="none"/>
        </w:rPr>
        <w:t>时。</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w:t>
      </w:r>
      <w:r>
        <w:rPr>
          <w:rFonts w:ascii="宋体" w:hAnsi="宋体" w:cs="宋体"/>
          <w:bCs/>
          <w:sz w:val="24"/>
          <w:highlight w:val="none"/>
        </w:rPr>
        <w:t>前一估值日</w:t>
      </w:r>
      <w:r>
        <w:rPr>
          <w:rFonts w:hint="eastAsia" w:ascii="宋体" w:hAnsi="宋体" w:cs="宋体"/>
          <w:bCs/>
          <w:sz w:val="24"/>
          <w:highlight w:val="none"/>
        </w:rPr>
        <w:t>理财计划</w:t>
      </w:r>
      <w:r>
        <w:rPr>
          <w:rFonts w:ascii="宋体" w:hAnsi="宋体" w:cs="宋体"/>
          <w:bCs/>
          <w:sz w:val="24"/>
          <w:highlight w:val="none"/>
        </w:rPr>
        <w:t>资产净值50%以上的资产不具备活跃交易市场或者在活跃市场中无报价，且不能采用估值技术可靠计量公允价值</w:t>
      </w:r>
      <w:r>
        <w:rPr>
          <w:rFonts w:hint="eastAsia" w:ascii="宋体" w:hAnsi="宋体" w:cs="宋体"/>
          <w:bCs/>
          <w:sz w:val="24"/>
          <w:highlight w:val="none"/>
        </w:rPr>
        <w:t>的情形</w:t>
      </w:r>
      <w:r>
        <w:rPr>
          <w:rFonts w:ascii="宋体" w:hAnsi="宋体" w:cs="宋体"/>
          <w:bCs/>
          <w:sz w:val="24"/>
          <w:highlight w:val="none"/>
        </w:rPr>
        <w:t>时</w:t>
      </w:r>
      <w:r>
        <w:rPr>
          <w:rFonts w:hint="eastAsia" w:ascii="宋体" w:hAnsi="宋体" w:cs="宋体"/>
          <w:bCs/>
          <w:sz w:val="24"/>
          <w:highlight w:val="none"/>
        </w:rPr>
        <w:t>。</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发生产品说明书约定的暂停估值的情形时。</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法律法规规定或监管机构认定的其他情形。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发生以下情形，管理人对已接受的赎回申请，可延期支付赎回款项：</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因不可抗力等原因，导致管理人接受赎回申请后无法及时兑付的情形时。</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连续</w:t>
      </w:r>
      <w:r>
        <w:rPr>
          <w:rFonts w:ascii="宋体" w:hAnsi="宋体" w:cs="宋体"/>
          <w:bCs/>
          <w:sz w:val="24"/>
          <w:highlight w:val="none"/>
        </w:rPr>
        <w:t>2</w:t>
      </w:r>
      <w:r>
        <w:rPr>
          <w:rFonts w:hint="eastAsia" w:ascii="宋体" w:hAnsi="宋体" w:cs="宋体"/>
          <w:bCs/>
          <w:sz w:val="24"/>
          <w:highlight w:val="none"/>
        </w:rPr>
        <w:t>日</w:t>
      </w:r>
      <w:r>
        <w:rPr>
          <w:rFonts w:ascii="宋体" w:hAnsi="宋体" w:cs="宋体"/>
          <w:bCs/>
          <w:sz w:val="24"/>
          <w:highlight w:val="none"/>
        </w:rPr>
        <w:t>（含）以上开放日发生巨额赎回的</w:t>
      </w:r>
      <w:r>
        <w:rPr>
          <w:rFonts w:hint="eastAsia" w:ascii="宋体" w:hAnsi="宋体" w:cs="宋体"/>
          <w:bCs/>
          <w:sz w:val="24"/>
          <w:highlight w:val="none"/>
        </w:rPr>
        <w:t>情形时。</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当前</w:t>
      </w:r>
      <w:r>
        <w:rPr>
          <w:rFonts w:ascii="宋体" w:hAnsi="宋体" w:cs="宋体"/>
          <w:bCs/>
          <w:sz w:val="24"/>
          <w:highlight w:val="none"/>
        </w:rPr>
        <w:t>一估值日</w:t>
      </w:r>
      <w:r>
        <w:rPr>
          <w:rFonts w:hint="eastAsia" w:ascii="宋体" w:hAnsi="宋体" w:cs="宋体"/>
          <w:bCs/>
          <w:sz w:val="24"/>
          <w:highlight w:val="none"/>
        </w:rPr>
        <w:t>理财计划</w:t>
      </w:r>
      <w:r>
        <w:rPr>
          <w:rFonts w:ascii="宋体" w:hAnsi="宋体" w:cs="宋体"/>
          <w:bCs/>
          <w:sz w:val="24"/>
          <w:highlight w:val="none"/>
        </w:rPr>
        <w:t>资产净值50%以上的资产不具备活跃交易市场或者在活跃市场中无报价，且不能采用估值技术可靠计量公允价值</w:t>
      </w:r>
      <w:r>
        <w:rPr>
          <w:rFonts w:hint="eastAsia" w:ascii="宋体" w:hAnsi="宋体" w:cs="宋体"/>
          <w:bCs/>
          <w:sz w:val="24"/>
          <w:highlight w:val="none"/>
        </w:rPr>
        <w:t>的情形</w:t>
      </w:r>
      <w:r>
        <w:rPr>
          <w:rFonts w:ascii="宋体" w:hAnsi="宋体" w:cs="宋体"/>
          <w:bCs/>
          <w:sz w:val="24"/>
          <w:highlight w:val="none"/>
        </w:rPr>
        <w:t>时</w:t>
      </w:r>
      <w:r>
        <w:rPr>
          <w:rFonts w:hint="eastAsia" w:ascii="宋体" w:hAnsi="宋体" w:cs="宋体"/>
          <w:bCs/>
          <w:sz w:val="24"/>
          <w:highlight w:val="none"/>
        </w:rPr>
        <w:t>。</w:t>
      </w:r>
    </w:p>
    <w:p>
      <w:pPr>
        <w:numPr>
          <w:ilvl w:val="0"/>
          <w:numId w:val="50"/>
        </w:numPr>
        <w:spacing w:line="360" w:lineRule="auto"/>
        <w:ind w:firstLine="480" w:firstLineChars="200"/>
        <w:jc w:val="left"/>
        <w:rPr>
          <w:rFonts w:hint="eastAsia" w:ascii="宋体" w:hAnsi="Wingdings" w:cs="宋体"/>
          <w:b/>
          <w:color w:val="000000"/>
          <w:kern w:val="0"/>
          <w:sz w:val="24"/>
          <w:highlight w:val="none"/>
        </w:rPr>
      </w:pPr>
      <w:r>
        <w:rPr>
          <w:rFonts w:hint="eastAsia" w:ascii="宋体" w:hAnsi="宋体" w:cs="宋体"/>
          <w:bCs/>
          <w:sz w:val="24"/>
          <w:highlight w:val="none"/>
        </w:rPr>
        <w:t>法律法规规定或监管机构认定的其他情形。</w:t>
      </w:r>
    </w:p>
    <w:p>
      <w:pPr>
        <w:numPr>
          <w:ilvl w:val="0"/>
          <w:numId w:val="42"/>
        </w:numPr>
        <w:spacing w:line="360" w:lineRule="auto"/>
        <w:jc w:val="left"/>
        <w:outlineLvl w:val="2"/>
        <w:rPr>
          <w:rFonts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于到期日当</w:t>
      </w:r>
      <w:r>
        <w:rPr>
          <w:rFonts w:hint="eastAsia" w:ascii="宋体" w:hAnsi="宋体" w:cs="宋体"/>
          <w:bCs/>
          <w:sz w:val="24"/>
          <w:highlight w:val="none"/>
        </w:rPr>
        <w:t>日、最晚</w:t>
      </w:r>
      <w:r>
        <w:rPr>
          <w:rFonts w:hint="eastAsia" w:ascii="宋体" w:hAnsi="宋体" w:cs="宋体"/>
          <w:bCs/>
          <w:sz w:val="24"/>
          <w:highlight w:val="none"/>
          <w:lang w:val="en-US" w:eastAsia="zh-CN"/>
        </w:rPr>
        <w:t>于到期日</w:t>
      </w:r>
      <w:r>
        <w:rPr>
          <w:rFonts w:hint="eastAsia" w:ascii="宋体" w:hAnsi="宋体" w:cs="宋体"/>
          <w:bCs/>
          <w:sz w:val="24"/>
          <w:highlight w:val="none"/>
        </w:rPr>
        <w:t>〖</w:t>
      </w:r>
      <w:r>
        <w:rPr>
          <w:rFonts w:hint="eastAsia" w:ascii="宋体" w:hAnsi="宋体" w:cs="宋体"/>
          <w:bCs/>
          <w:sz w:val="24"/>
          <w:highlight w:val="none"/>
          <w:lang w:val="en-US" w:eastAsia="zh-CN"/>
        </w:rPr>
        <w:t>2</w:t>
      </w:r>
      <w:r>
        <w:rPr>
          <w:rFonts w:hint="eastAsia" w:ascii="宋体" w:hAnsi="宋体" w:cs="宋体"/>
          <w:bCs/>
          <w:sz w:val="24"/>
          <w:highlight w:val="none"/>
        </w:rPr>
        <w:t>〗个交易日内（遇节假日顺延）将资金按规定的要求划入投资者授权指定的理财账户。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42"/>
        </w:numPr>
        <w:spacing w:line="360" w:lineRule="auto"/>
        <w:jc w:val="left"/>
        <w:outlineLvl w:val="2"/>
        <w:rPr>
          <w:rFonts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highlight w:val="none"/>
        </w:rPr>
        <w:t>〖</w:t>
      </w:r>
      <w:r>
        <w:rPr>
          <w:rFonts w:hint="eastAsia" w:ascii="宋体" w:hAnsi="宋体" w:cs="宋体"/>
          <w:bCs/>
          <w:sz w:val="24"/>
          <w:highlight w:val="none"/>
        </w:rPr>
        <w:t>2</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highlight w:val="none"/>
        </w:rPr>
        <w:t>〖</w:t>
      </w:r>
      <w:r>
        <w:rPr>
          <w:rFonts w:hint="eastAsia" w:ascii="宋体" w:hAnsi="宋体" w:cs="宋体"/>
          <w:sz w:val="24"/>
          <w:highlight w:val="none"/>
          <w:lang w:val="en-US" w:eastAsia="zh-CN"/>
        </w:rPr>
        <w:t>2</w:t>
      </w:r>
      <w:r>
        <w:rPr>
          <w:rFonts w:hint="eastAsia" w:ascii="宋体" w:hAnsi="宋体" w:cs="宋体"/>
          <w:bCs/>
          <w:color w:val="000000"/>
          <w:sz w:val="24"/>
          <w:highlight w:val="none"/>
        </w:rPr>
        <w:t>〗</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日内将可兑付款项按规定的要求划入投资者授权指定的理财账户。终止日至资金实际到账日之间，投资者资金不计息。</w:t>
      </w:r>
    </w:p>
    <w:p>
      <w:p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51"/>
        </w:numPr>
        <w:spacing w:line="360" w:lineRule="auto"/>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51"/>
        </w:numPr>
        <w:spacing w:line="360" w:lineRule="auto"/>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51"/>
        </w:numPr>
        <w:spacing w:line="360" w:lineRule="auto"/>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51"/>
        </w:numPr>
        <w:spacing w:line="360" w:lineRule="auto"/>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51"/>
        </w:numPr>
        <w:spacing w:line="360" w:lineRule="auto"/>
        <w:ind w:leftChars="0" w:firstLine="400" w:firstLineChars="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51"/>
        </w:numPr>
        <w:spacing w:line="360" w:lineRule="auto"/>
        <w:ind w:leftChars="0" w:firstLine="400" w:firstLineChars="0"/>
        <w:jc w:val="left"/>
        <w:rPr>
          <w:rFonts w:ascii="宋体" w:hAnsi="宋体" w:cs="宋体"/>
          <w:b/>
          <w:sz w:val="24"/>
          <w:highlight w:val="none"/>
        </w:rPr>
      </w:pPr>
      <w:r>
        <w:rPr>
          <w:rFonts w:hint="eastAsia" w:ascii="宋体" w:hAnsi="宋体" w:cs="宋体"/>
          <w:b/>
          <w:sz w:val="24"/>
          <w:highlight w:val="none"/>
          <w:lang w:val="en-US" w:eastAsia="zh-CN"/>
        </w:rPr>
        <w:t>管理人</w:t>
      </w:r>
      <w:r>
        <w:rPr>
          <w:rFonts w:hint="eastAsia" w:ascii="宋体" w:hAnsi="宋体" w:cs="宋体"/>
          <w:b/>
          <w:sz w:val="24"/>
          <w:highlight w:val="none"/>
        </w:rPr>
        <w:t>认为应该提前终止的其他情形。</w:t>
      </w:r>
    </w:p>
    <w:p>
      <w:pPr>
        <w:numPr>
          <w:ilvl w:val="0"/>
          <w:numId w:val="42"/>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2"/>
        </w:numPr>
        <w:spacing w:line="360" w:lineRule="auto"/>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52"/>
        </w:numPr>
        <w:spacing w:line="360" w:lineRule="auto"/>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52"/>
        </w:numPr>
        <w:spacing w:line="360" w:lineRule="auto"/>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52"/>
        </w:numPr>
        <w:spacing w:line="360" w:lineRule="auto"/>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52"/>
        </w:numPr>
        <w:spacing w:line="360" w:lineRule="auto"/>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5"/>
        </w:numPr>
        <w:spacing w:line="360" w:lineRule="auto"/>
        <w:jc w:val="left"/>
        <w:outlineLvl w:val="1"/>
        <w:rPr>
          <w:rFonts w:ascii="宋体" w:hAnsi="宋体" w:cs="宋体"/>
          <w:b/>
          <w:sz w:val="24"/>
          <w:highlight w:val="none"/>
        </w:rPr>
      </w:pPr>
      <w:r>
        <w:rPr>
          <w:rFonts w:hint="eastAsia" w:ascii="宋体" w:hAnsi="宋体" w:cs="宋体"/>
          <w:b/>
          <w:sz w:val="24"/>
          <w:highlight w:val="none"/>
        </w:rPr>
        <w:t>信息披露</w:t>
      </w:r>
    </w:p>
    <w:p>
      <w:pPr>
        <w:numPr>
          <w:ilvl w:val="0"/>
          <w:numId w:val="53"/>
        </w:numPr>
        <w:spacing w:line="360" w:lineRule="auto"/>
        <w:jc w:val="left"/>
        <w:outlineLvl w:val="2"/>
        <w:rPr>
          <w:rFonts w:ascii="宋体" w:hAnsi="宋体" w:cs="宋体"/>
          <w:b/>
          <w:sz w:val="24"/>
          <w:highlight w:val="none"/>
        </w:rPr>
      </w:pPr>
      <w:r>
        <w:rPr>
          <w:rFonts w:hint="eastAsia" w:ascii="宋体" w:hAnsi="宋体" w:cs="宋体"/>
          <w:b/>
          <w:sz w:val="24"/>
          <w:highlight w:val="none"/>
        </w:rPr>
        <w:t>披露内容及时间</w:t>
      </w:r>
    </w:p>
    <w:p>
      <w:pPr>
        <w:numPr>
          <w:ilvl w:val="0"/>
          <w:numId w:val="54"/>
        </w:numPr>
        <w:spacing w:line="360" w:lineRule="auto"/>
        <w:jc w:val="left"/>
        <w:rPr>
          <w:rFonts w:ascii="宋体" w:hAnsi="宋体" w:cs="宋体"/>
          <w:b/>
          <w:sz w:val="24"/>
          <w:highlight w:val="none"/>
        </w:rPr>
      </w:pPr>
      <w:r>
        <w:rPr>
          <w:rFonts w:hint="eastAsia" w:ascii="宋体" w:hAnsi="宋体" w:cs="宋体"/>
          <w:b/>
          <w:sz w:val="24"/>
          <w:highlight w:val="none"/>
        </w:rPr>
        <w:t>认购信息披露</w:t>
      </w:r>
    </w:p>
    <w:p>
      <w:pPr>
        <w:numPr>
          <w:ilvl w:val="0"/>
          <w:numId w:val="55"/>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理财计划合同：管理人应在正式办理理财计划份额认购前披露，包括但不限于风险揭示书、产品说明书、投资者权益须知、理财计划投资协议书以及</w:t>
      </w:r>
      <w:r>
        <w:rPr>
          <w:rFonts w:hint="eastAsia" w:ascii="宋体" w:hAnsi="宋体" w:cs="宋体"/>
          <w:bCs/>
          <w:sz w:val="24"/>
          <w:highlight w:val="none"/>
        </w:rPr>
        <w:t>理财计划销售协议书</w:t>
      </w:r>
      <w:r>
        <w:rPr>
          <w:rFonts w:hint="eastAsia" w:ascii="宋体" w:hAnsi="宋体" w:cs="宋体"/>
          <w:bCs/>
          <w:color w:val="000000"/>
          <w:sz w:val="24"/>
          <w:highlight w:val="none"/>
        </w:rPr>
        <w:t>。</w:t>
      </w:r>
    </w:p>
    <w:p>
      <w:pPr>
        <w:numPr>
          <w:ilvl w:val="0"/>
          <w:numId w:val="55"/>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发行公告：管理人应在理财计划成立日后3个工作日内披露，包括成立日期、募集规模等信息。</w:t>
      </w:r>
    </w:p>
    <w:p>
      <w:pPr>
        <w:numPr>
          <w:ilvl w:val="0"/>
          <w:numId w:val="54"/>
        </w:numPr>
        <w:spacing w:line="360" w:lineRule="auto"/>
        <w:jc w:val="left"/>
        <w:rPr>
          <w:rFonts w:ascii="宋体" w:hAnsi="宋体" w:cs="宋体"/>
          <w:b/>
          <w:sz w:val="24"/>
          <w:highlight w:val="none"/>
        </w:rPr>
      </w:pPr>
      <w:r>
        <w:rPr>
          <w:rFonts w:hint="eastAsia" w:ascii="宋体" w:hAnsi="宋体" w:cs="宋体"/>
          <w:b/>
          <w:sz w:val="24"/>
          <w:highlight w:val="none"/>
        </w:rPr>
        <w:t>运作信息披露</w:t>
      </w:r>
    </w:p>
    <w:p>
      <w:pPr>
        <w:numPr>
          <w:ilvl w:val="0"/>
          <w:numId w:val="56"/>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理财计划净值：管理人应在理财计划成立后，每个开放确认日后2</w:t>
      </w:r>
      <w:r>
        <w:rPr>
          <w:rFonts w:ascii="宋体" w:hAnsi="宋体" w:cs="宋体"/>
          <w:bCs/>
          <w:color w:val="000000"/>
          <w:sz w:val="24"/>
          <w:highlight w:val="none"/>
        </w:rPr>
        <w:t>个工作日内披露本理财计划净值</w:t>
      </w:r>
      <w:r>
        <w:rPr>
          <w:rFonts w:hint="eastAsia" w:ascii="宋体" w:hAnsi="宋体" w:cs="宋体"/>
          <w:bCs/>
          <w:color w:val="000000"/>
          <w:sz w:val="24"/>
          <w:highlight w:val="none"/>
        </w:rPr>
        <w:t>。</w:t>
      </w:r>
    </w:p>
    <w:p>
      <w:pPr>
        <w:numPr>
          <w:ilvl w:val="0"/>
          <w:numId w:val="56"/>
        </w:numPr>
        <w:spacing w:line="360" w:lineRule="auto"/>
        <w:ind w:firstLine="480" w:firstLineChars="200"/>
        <w:rPr>
          <w:rFonts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p>
    <w:p>
      <w:pPr>
        <w:numPr>
          <w:ilvl w:val="0"/>
          <w:numId w:val="0"/>
        </w:numPr>
        <w:spacing w:line="360" w:lineRule="auto"/>
        <w:rPr>
          <w:rFonts w:ascii="宋体" w:hAnsi="宋体" w:cs="宋体"/>
          <w:b/>
          <w:sz w:val="24"/>
          <w:highlight w:val="none"/>
        </w:rPr>
      </w:pPr>
      <w:r>
        <w:rPr>
          <w:rFonts w:hint="eastAsia" w:ascii="宋体" w:hAnsi="宋体" w:cs="宋体"/>
          <w:bCs/>
          <w:color w:val="000000"/>
          <w:sz w:val="24"/>
          <w:highlight w:val="none"/>
          <w:lang w:eastAsia="zh-CN"/>
        </w:rPr>
        <w:t>如本理财计划成立不足</w:t>
      </w:r>
      <w:r>
        <w:rPr>
          <w:rFonts w:hint="eastAsia" w:ascii="宋体" w:hAnsi="宋体" w:cs="宋体"/>
          <w:bCs/>
          <w:color w:val="000000"/>
          <w:sz w:val="24"/>
          <w:highlight w:val="none"/>
          <w:lang w:val="en-US" w:eastAsia="zh-CN"/>
        </w:rPr>
        <w:t>90个工作日或剩余存续期不超过90个工作日的，管理人可不编制当期的季度、半年和年度报告等运行报告。</w:t>
      </w:r>
    </w:p>
    <w:p>
      <w:pPr>
        <w:numPr>
          <w:ilvl w:val="0"/>
          <w:numId w:val="56"/>
        </w:numPr>
        <w:spacing w:line="360" w:lineRule="auto"/>
        <w:ind w:firstLine="480" w:firstLineChars="200"/>
        <w:rPr>
          <w:rFonts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4"/>
        </w:numPr>
        <w:spacing w:line="360" w:lineRule="auto"/>
        <w:jc w:val="left"/>
        <w:rPr>
          <w:rFonts w:ascii="宋体" w:hAnsi="宋体" w:cs="宋体"/>
          <w:b/>
          <w:sz w:val="24"/>
          <w:highlight w:val="none"/>
        </w:rPr>
      </w:pPr>
      <w:r>
        <w:rPr>
          <w:rFonts w:hint="eastAsia" w:ascii="宋体" w:hAnsi="宋体" w:cs="宋体"/>
          <w:b/>
          <w:sz w:val="24"/>
          <w:highlight w:val="none"/>
        </w:rPr>
        <w:t>临时信息披露</w:t>
      </w:r>
    </w:p>
    <w:p>
      <w:pPr>
        <w:numPr>
          <w:ilvl w:val="0"/>
          <w:numId w:val="57"/>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重大事项公告：管理人应在运用收取短期赎回费、摆动定价等措施后，3个交易日内发布相关事项公告；应在运用暂停认购、延期办理巨额赎回申请、暂停接受赎回申请、延缓支付赎回款项、暂停理财产品估值等措施后，3个交易日内发布相关事项公告，说明运用相关措施的原因、拟采取的应对安排等；应在发生可能对理财计划投资者或者理财计划收益产生重大事项的事件后2个工作日内发布重大事项公告。</w:t>
      </w:r>
    </w:p>
    <w:p>
      <w:pPr>
        <w:numPr>
          <w:ilvl w:val="0"/>
          <w:numId w:val="57"/>
        </w:numPr>
        <w:spacing w:line="360" w:lineRule="auto"/>
        <w:ind w:firstLine="480" w:firstLineChars="200"/>
        <w:rPr>
          <w:rFonts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临时公告：管理人应当及时披露除重大事项以外的其他信息，包括但不限于理财计划终止、更换理财计划管理人和托管人、涉及理财计划管理业务的重大诉讼、涉及费率相关事项的变动、理财计划延期兑付等。</w:t>
      </w:r>
    </w:p>
    <w:p>
      <w:pPr>
        <w:numPr>
          <w:ilvl w:val="0"/>
          <w:numId w:val="53"/>
        </w:numPr>
        <w:spacing w:line="360" w:lineRule="auto"/>
        <w:jc w:val="left"/>
        <w:outlineLvl w:val="2"/>
        <w:rPr>
          <w:rFonts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ascii="宋体" w:hAnsi="宋体" w:cs="宋体"/>
          <w:b/>
          <w:sz w:val="24"/>
          <w:highlight w:val="none"/>
        </w:rPr>
      </w:pPr>
    </w:p>
    <w:p>
      <w:pPr>
        <w:numPr>
          <w:ilvl w:val="0"/>
          <w:numId w:val="25"/>
        </w:numPr>
        <w:spacing w:line="360" w:lineRule="auto"/>
        <w:jc w:val="left"/>
        <w:outlineLvl w:val="1"/>
        <w:rPr>
          <w:rFonts w:ascii="宋体" w:hAnsi="宋体" w:cs="宋体"/>
          <w:b/>
          <w:sz w:val="24"/>
          <w:highlight w:val="none"/>
        </w:rPr>
      </w:pPr>
      <w:r>
        <w:rPr>
          <w:rFonts w:hint="eastAsia" w:ascii="宋体" w:hAnsi="宋体" w:cs="宋体"/>
          <w:b/>
          <w:sz w:val="24"/>
          <w:highlight w:val="none"/>
        </w:rPr>
        <w:t>其他</w:t>
      </w:r>
    </w:p>
    <w:p>
      <w:pPr>
        <w:numPr>
          <w:ilvl w:val="0"/>
          <w:numId w:val="58"/>
        </w:numPr>
        <w:spacing w:line="360" w:lineRule="auto"/>
        <w:jc w:val="left"/>
        <w:outlineLvl w:val="2"/>
        <w:rPr>
          <w:rFonts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58"/>
        </w:numPr>
        <w:spacing w:line="360" w:lineRule="auto"/>
        <w:jc w:val="left"/>
        <w:outlineLvl w:val="2"/>
        <w:rPr>
          <w:rFonts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58"/>
        </w:numPr>
        <w:spacing w:line="360" w:lineRule="auto"/>
        <w:jc w:val="left"/>
        <w:outlineLvl w:val="2"/>
        <w:rPr>
          <w:rFonts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58"/>
        </w:numPr>
        <w:spacing w:line="360" w:lineRule="auto"/>
        <w:jc w:val="left"/>
        <w:outlineLvl w:val="2"/>
        <w:rPr>
          <w:rFonts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outlineLvl w:val="1"/>
        <w:rPr>
          <w:rFonts w:hint="eastAsia" w:ascii="宋体" w:hAnsi="宋体" w:cs="宋体"/>
          <w:b/>
          <w:bCs/>
          <w:color w:val="000000"/>
          <w:sz w:val="44"/>
          <w:szCs w:val="44"/>
          <w:highlight w:val="none"/>
        </w:rPr>
      </w:pPr>
      <w:r>
        <w:rPr>
          <w:rFonts w:hint="eastAsia" w:ascii="宋体" w:hAnsi="宋体" w:cs="宋体"/>
          <w:sz w:val="28"/>
          <w:szCs w:val="28"/>
          <w:highlight w:val="none"/>
        </w:rPr>
        <w:t>（</w:t>
      </w:r>
      <w:r>
        <w:rPr>
          <w:rFonts w:hint="eastAsia" w:ascii="宋体" w:hAnsi="宋体" w:cs="宋体"/>
          <w:sz w:val="28"/>
          <w:szCs w:val="28"/>
          <w:highlight w:val="none"/>
          <w:lang w:eastAsia="zh-CN"/>
        </w:rPr>
        <w:t>202201</w:t>
      </w:r>
      <w:r>
        <w:rPr>
          <w:rFonts w:hint="eastAsia" w:ascii="宋体" w:hAnsi="宋体" w:cs="宋体"/>
          <w:sz w:val="28"/>
          <w:szCs w:val="28"/>
          <w:highlight w:val="none"/>
        </w:rPr>
        <w:t>版）</w:t>
      </w:r>
    </w:p>
    <w:p>
      <w:pPr>
        <w:spacing w:line="360" w:lineRule="auto"/>
        <w:jc w:val="center"/>
        <w:outlineLvl w:val="2"/>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59"/>
        </w:numPr>
        <w:spacing w:line="360" w:lineRule="auto"/>
        <w:outlineLvl w:val="2"/>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60"/>
        </w:numPr>
        <w:spacing w:line="360" w:lineRule="auto"/>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0"/>
        </w:numPr>
        <w:spacing w:line="360" w:lineRule="auto"/>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r>
        <w:rPr>
          <w:rFonts w:hint="eastAsia" w:ascii="宋体" w:hAnsi="宋体" w:cs="宋体"/>
          <w:kern w:val="0"/>
          <w:sz w:val="24"/>
          <w:highlight w:val="none"/>
          <w:lang w:val="en-US" w:eastAsia="zh-CN"/>
        </w:rPr>
        <w:t>如销售机构对于机构投资者的风险承受能力评估有要求的，则参照销售机构相关评估标准或代理销售协议书执行。</w:t>
      </w:r>
    </w:p>
    <w:p>
      <w:pPr>
        <w:numPr>
          <w:ilvl w:val="0"/>
          <w:numId w:val="60"/>
        </w:numPr>
        <w:spacing w:line="360" w:lineRule="auto"/>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bCs/>
          <w:sz w:val="24"/>
          <w:highlight w:val="none"/>
        </w:rPr>
        <w:t>理财计划</w:t>
      </w:r>
      <w:r>
        <w:rPr>
          <w:rFonts w:hint="eastAsia" w:ascii="宋体" w:hAnsi="宋体" w:cs="宋体"/>
          <w:kern w:val="0"/>
          <w:sz w:val="24"/>
          <w:highlight w:val="none"/>
        </w:rPr>
        <w:t>风险揭示书、理财计划产品说明书、投资者权益须知、理财计划投资协议书和</w:t>
      </w:r>
      <w:r>
        <w:rPr>
          <w:rFonts w:hint="eastAsia" w:ascii="宋体" w:hAnsi="宋体" w:cs="宋体"/>
          <w:bCs/>
          <w:sz w:val="24"/>
          <w:highlight w:val="none"/>
        </w:rPr>
        <w:t>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0"/>
        </w:numPr>
        <w:spacing w:line="360" w:lineRule="auto"/>
        <w:ind w:firstLine="480" w:firstLineChars="200"/>
        <w:outlineLvl w:val="9"/>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0"/>
        </w:numPr>
        <w:spacing w:line="360" w:lineRule="auto"/>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60"/>
        </w:numPr>
        <w:spacing w:line="360" w:lineRule="auto"/>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61"/>
        </w:numPr>
        <w:spacing w:line="360" w:lineRule="auto"/>
        <w:outlineLvl w:val="2"/>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w:t>
      </w:r>
      <w:r>
        <w:rPr>
          <w:rFonts w:hint="eastAsia" w:ascii="宋体" w:hAnsi="宋体" w:cs="宋体"/>
          <w:kern w:val="0"/>
          <w:sz w:val="24"/>
          <w:highlight w:val="none"/>
          <w:lang w:eastAsia="zh-CN"/>
        </w:rPr>
        <w:t>中风险</w:t>
      </w:r>
      <w:r>
        <w:rPr>
          <w:rFonts w:hint="eastAsia" w:ascii="宋体" w:hAnsi="宋体" w:cs="宋体"/>
          <w:kern w:val="0"/>
          <w:sz w:val="24"/>
          <w:highlight w:val="none"/>
        </w:rPr>
        <w:t>（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产品风险等级</w:t>
            </w:r>
          </w:p>
        </w:tc>
        <w:tc>
          <w:tcPr>
            <w:tcW w:w="42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风险等级说明</w:t>
            </w:r>
          </w:p>
        </w:tc>
        <w:tc>
          <w:tcPr>
            <w:tcW w:w="24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R1</w:t>
            </w:r>
          </w:p>
        </w:tc>
        <w:tc>
          <w:tcPr>
            <w:tcW w:w="428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R2</w:t>
            </w:r>
          </w:p>
        </w:tc>
        <w:tc>
          <w:tcPr>
            <w:tcW w:w="428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R3</w:t>
            </w:r>
          </w:p>
        </w:tc>
        <w:tc>
          <w:tcPr>
            <w:tcW w:w="428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R4</w:t>
            </w:r>
          </w:p>
        </w:tc>
        <w:tc>
          <w:tcPr>
            <w:tcW w:w="428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R5</w:t>
            </w:r>
          </w:p>
        </w:tc>
        <w:tc>
          <w:tcPr>
            <w:tcW w:w="428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机构投资者及进取型的个人投资者</w:t>
            </w:r>
          </w:p>
        </w:tc>
      </w:tr>
    </w:tbl>
    <w:p>
      <w:pPr>
        <w:numPr>
          <w:ilvl w:val="0"/>
          <w:numId w:val="0"/>
        </w:numPr>
        <w:spacing w:line="360" w:lineRule="auto"/>
        <w:ind w:firstLine="480" w:firstLineChars="200"/>
        <w:rPr>
          <w:rFonts w:hint="eastAsia" w:ascii="宋体" w:hAnsi="宋体" w:cs="宋体"/>
          <w:b w:val="0"/>
          <w:kern w:val="0"/>
          <w:sz w:val="24"/>
          <w:highlight w:val="none"/>
        </w:rPr>
      </w:pPr>
      <w:r>
        <w:rPr>
          <w:rFonts w:hint="eastAsia" w:ascii="宋体" w:hAnsi="宋体" w:cs="宋体"/>
          <w:bCs w:val="0"/>
          <w:kern w:val="0"/>
          <w:sz w:val="24"/>
          <w:highlight w:val="none"/>
        </w:rPr>
        <w:t>投资者风险承受能力评级水平以销售机构评估为准。</w:t>
      </w:r>
    </w:p>
    <w:p>
      <w:pPr>
        <w:numPr>
          <w:ilvl w:val="0"/>
          <w:numId w:val="61"/>
        </w:numPr>
        <w:spacing w:line="360" w:lineRule="auto"/>
        <w:outlineLvl w:val="2"/>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62"/>
        </w:numPr>
        <w:spacing w:line="360" w:lineRule="auto"/>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2"/>
        </w:numPr>
        <w:spacing w:line="360" w:lineRule="auto"/>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62"/>
        </w:numPr>
        <w:spacing w:line="360" w:lineRule="auto"/>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63"/>
        </w:numPr>
        <w:spacing w:line="360" w:lineRule="auto"/>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63"/>
        </w:numPr>
        <w:spacing w:line="360" w:lineRule="auto"/>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63"/>
        </w:numPr>
        <w:spacing w:line="360" w:lineRule="auto"/>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63"/>
        </w:numPr>
        <w:spacing w:line="360" w:lineRule="auto"/>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64"/>
        </w:numPr>
        <w:spacing w:line="360" w:lineRule="auto"/>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64"/>
        </w:numPr>
        <w:spacing w:line="360" w:lineRule="auto"/>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4"/>
        </w:num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r>
        <w:rPr>
          <w:rFonts w:hint="eastAsia" w:ascii="宋体" w:hAnsi="宋体" w:cs="宋体"/>
          <w:kern w:val="0"/>
          <w:sz w:val="24"/>
          <w:highlight w:val="none"/>
          <w:lang w:val="en-US" w:eastAsia="zh-CN"/>
        </w:rPr>
        <w:t>如销售机构对于机构投资者的风险承受能力评估有要求的，则参照销售机构相关评估标准或代理销售协议书执行。</w:t>
      </w:r>
    </w:p>
    <w:p>
      <w:pPr>
        <w:spacing w:line="360" w:lineRule="auto"/>
        <w:ind w:firstLine="482" w:firstLineChars="200"/>
        <w:outlineLvl w:val="2"/>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2"/>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2"/>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65"/>
        </w:numPr>
        <w:spacing w:line="360" w:lineRule="auto"/>
        <w:rPr>
          <w:rFonts w:hint="eastAsia" w:ascii="宋体" w:hAnsi="宋体" w:cs="宋体"/>
          <w:kern w:val="0"/>
          <w:sz w:val="24"/>
          <w:highlight w:val="none"/>
        </w:rPr>
      </w:pPr>
      <w:r>
        <w:rPr>
          <w:rFonts w:hint="eastAsia" w:ascii="宋体" w:hAnsi="宋体" w:cs="宋体"/>
          <w:kern w:val="0"/>
          <w:sz w:val="24"/>
          <w:highlight w:val="none"/>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65"/>
        </w:numPr>
        <w:spacing w:line="360" w:lineRule="auto"/>
        <w:rPr>
          <w:rFonts w:hint="eastAsia" w:ascii="宋体" w:hAnsi="宋体" w:cs="宋体"/>
          <w:kern w:val="0"/>
          <w:sz w:val="24"/>
          <w:highlight w:val="none"/>
        </w:rPr>
      </w:pPr>
      <w:r>
        <w:rPr>
          <w:rFonts w:hint="eastAsia" w:ascii="宋体" w:hAnsi="宋体" w:cs="宋体"/>
          <w:kern w:val="0"/>
          <w:sz w:val="24"/>
          <w:highlight w:val="none"/>
        </w:rPr>
        <w:t>联络方式</w:t>
      </w:r>
    </w:p>
    <w:p>
      <w:pPr>
        <w:numPr>
          <w:ilvl w:val="0"/>
          <w:numId w:val="66"/>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default"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fldChar w:fldCharType="begin"/>
      </w:r>
      <w:r>
        <w:instrText xml:space="preserve"> HYPERLINK "http://www.hzbankwealth.cn" </w:instrText>
      </w:r>
      <w:r>
        <w:fldChar w:fldCharType="separate"/>
      </w:r>
      <w:r>
        <w:rPr>
          <w:rStyle w:val="12"/>
          <w:rFonts w:hint="eastAsia" w:ascii="宋体" w:hAnsi="宋体" w:cs="宋体"/>
          <w:kern w:val="0"/>
          <w:sz w:val="24"/>
          <w:highlight w:val="none"/>
          <w:lang w:val="en-US" w:eastAsia="zh-CN"/>
        </w:rPr>
        <w:t>www.hzbankwealth.co</w:t>
      </w:r>
      <w:r>
        <w:rPr>
          <w:rStyle w:val="12"/>
          <w:rFonts w:hint="eastAsia" w:ascii="宋体" w:hAnsi="宋体" w:cs="宋体"/>
          <w:kern w:val="0"/>
          <w:sz w:val="24"/>
          <w:highlight w:val="none"/>
          <w:lang w:val="en-US" w:eastAsia="zh-CN"/>
        </w:rPr>
        <w:fldChar w:fldCharType="end"/>
      </w:r>
      <w:r>
        <w:rPr>
          <w:rStyle w:val="12"/>
          <w:rFonts w:hint="eastAsia" w:ascii="宋体" w:hAnsi="宋体" w:cs="宋体"/>
          <w:kern w:val="0"/>
          <w:sz w:val="24"/>
          <w:highlight w:val="none"/>
          <w:lang w:val="en-US" w:eastAsia="zh-CN"/>
        </w:rPr>
        <w:t>m.cn</w:t>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66"/>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fldChar w:fldCharType="begin"/>
      </w:r>
      <w:r>
        <w:instrText xml:space="preserve"> HYPERLINK "http://www.hzbankwealth.cn" </w:instrText>
      </w:r>
      <w:r>
        <w:fldChar w:fldCharType="separate"/>
      </w:r>
      <w:r>
        <w:rPr>
          <w:rStyle w:val="12"/>
          <w:rFonts w:hint="eastAsia" w:ascii="宋体" w:hAnsi="宋体" w:cs="宋体"/>
          <w:kern w:val="0"/>
          <w:sz w:val="24"/>
          <w:highlight w:val="none"/>
          <w:lang w:val="en-US" w:eastAsia="zh-CN"/>
        </w:rPr>
        <w:t>www.hzbank.com.cn</w:t>
      </w:r>
      <w:r>
        <w:rPr>
          <w:rStyle w:val="12"/>
          <w:rFonts w:hint="eastAsia" w:ascii="宋体" w:hAnsi="宋体" w:cs="宋体"/>
          <w:kern w:val="0"/>
          <w:sz w:val="24"/>
          <w:highlight w:val="none"/>
          <w:lang w:val="en-US" w:eastAsia="zh-CN"/>
        </w:rP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jc w:val="center"/>
        <w:outlineLvl w:val="0"/>
        <w:rPr>
          <w:rFonts w:hint="eastAsia"/>
          <w:b/>
          <w:sz w:val="44"/>
          <w:szCs w:val="44"/>
          <w:highlight w:val="none"/>
        </w:rPr>
      </w:pPr>
      <w:r>
        <w:rPr>
          <w:rFonts w:hint="eastAsia" w:ascii="宋体" w:hAnsi="宋体" w:cs="宋体"/>
          <w:bCs/>
          <w:color w:val="000000"/>
          <w:sz w:val="24"/>
          <w:highlight w:val="none"/>
        </w:rPr>
        <w:br w:type="page"/>
      </w:r>
      <w:r>
        <w:rPr>
          <w:rFonts w:hint="eastAsia"/>
          <w:b/>
          <w:sz w:val="44"/>
          <w:szCs w:val="44"/>
          <w:highlight w:val="none"/>
        </w:rPr>
        <w:t>杭银理财理财计划投资协议书</w:t>
      </w:r>
    </w:p>
    <w:p>
      <w:pPr>
        <w:jc w:val="center"/>
        <w:outlineLvl w:val="1"/>
        <w:rPr>
          <w:rFonts w:hint="eastAsia"/>
          <w:b/>
          <w:sz w:val="44"/>
          <w:szCs w:val="44"/>
          <w:highlight w:val="none"/>
        </w:rPr>
      </w:pPr>
      <w:r>
        <w:rPr>
          <w:rFonts w:hint="eastAsia" w:ascii="宋体" w:hAnsi="宋体" w:cs="宋体"/>
          <w:sz w:val="28"/>
          <w:szCs w:val="28"/>
          <w:highlight w:val="none"/>
        </w:rPr>
        <w:t>（</w:t>
      </w:r>
      <w:r>
        <w:rPr>
          <w:rFonts w:hint="eastAsia" w:ascii="宋体" w:hAnsi="宋体" w:cs="宋体"/>
          <w:sz w:val="28"/>
          <w:szCs w:val="28"/>
          <w:highlight w:val="none"/>
          <w:lang w:eastAsia="zh-CN"/>
        </w:rPr>
        <w:t>202201</w:t>
      </w:r>
      <w:r>
        <w:rPr>
          <w:rFonts w:hint="eastAsia" w:ascii="宋体" w:hAnsi="宋体" w:cs="宋体"/>
          <w:sz w:val="28"/>
          <w:szCs w:val="28"/>
          <w:highlight w:val="none"/>
        </w:rPr>
        <w:t>版）</w:t>
      </w:r>
    </w:p>
    <w:p>
      <w:pPr>
        <w:jc w:val="center"/>
        <w:outlineLvl w:val="2"/>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特别提示：杭银理财理财计划投资协议书与理财计划风险揭示书、理财计划</w:t>
      </w:r>
      <w:r>
        <w:rPr>
          <w:rFonts w:hint="eastAsia"/>
          <w:b/>
          <w:bCs/>
          <w:sz w:val="24"/>
          <w:highlight w:val="none"/>
          <w:lang w:val="en-US" w:eastAsia="zh-CN"/>
        </w:rPr>
        <w:t>产品</w:t>
      </w:r>
      <w:r>
        <w:rPr>
          <w:rFonts w:hint="eastAsia"/>
          <w:b/>
          <w:bCs/>
          <w:sz w:val="24"/>
          <w:highlight w:val="none"/>
        </w:rPr>
        <w:t>说明书、投资者权益须知及</w:t>
      </w:r>
      <w:r>
        <w:rPr>
          <w:rFonts w:hint="eastAsia" w:ascii="宋体" w:hAnsi="宋体" w:cs="宋体"/>
          <w:b/>
          <w:bCs/>
          <w:sz w:val="24"/>
          <w:highlight w:val="none"/>
        </w:rPr>
        <w:t>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numPr>
          <w:ilvl w:val="0"/>
          <w:numId w:val="67"/>
        </w:numPr>
        <w:spacing w:line="360" w:lineRule="auto"/>
        <w:ind w:firstLine="482" w:firstLineChars="200"/>
        <w:outlineLvl w:val="2"/>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numPr>
          <w:ilvl w:val="0"/>
          <w:numId w:val="67"/>
        </w:numPr>
        <w:spacing w:line="360" w:lineRule="auto"/>
        <w:ind w:firstLine="482" w:firstLineChars="200"/>
        <w:outlineLvl w:val="2"/>
        <w:rPr>
          <w:rFonts w:hint="eastAsia"/>
          <w:b/>
          <w:sz w:val="24"/>
          <w:highlight w:val="none"/>
        </w:rPr>
      </w:pPr>
      <w:r>
        <w:rPr>
          <w:rFonts w:hint="eastAsia"/>
          <w:b/>
          <w:sz w:val="24"/>
          <w:highlight w:val="none"/>
        </w:rPr>
        <w:t>投资者权利与义务</w:t>
      </w:r>
    </w:p>
    <w:p>
      <w:pPr>
        <w:widowControl/>
        <w:numPr>
          <w:ilvl w:val="0"/>
          <w:numId w:val="68"/>
        </w:numPr>
        <w:spacing w:line="360" w:lineRule="auto"/>
        <w:contextualSpacing/>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68"/>
        </w:numPr>
        <w:spacing w:line="360" w:lineRule="auto"/>
        <w:contextualSpacing/>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68"/>
        </w:numPr>
        <w:spacing w:line="360" w:lineRule="auto"/>
        <w:contextualSpacing/>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68"/>
        </w:numPr>
        <w:spacing w:line="360" w:lineRule="auto"/>
        <w:contextualSpacing/>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68"/>
        </w:numPr>
        <w:spacing w:line="360" w:lineRule="auto"/>
        <w:contextualSpacing/>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68"/>
        </w:numPr>
        <w:spacing w:line="360" w:lineRule="auto"/>
        <w:contextualSpacing/>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68"/>
        </w:numPr>
        <w:spacing w:line="360" w:lineRule="auto"/>
        <w:contextualSpacing/>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68"/>
        </w:numPr>
        <w:spacing w:line="360" w:lineRule="auto"/>
        <w:contextualSpacing/>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68"/>
        </w:numPr>
        <w:spacing w:line="360" w:lineRule="auto"/>
        <w:contextualSpacing/>
        <w:rPr>
          <w:rFonts w:ascii="宋体" w:hAnsi="宋体"/>
          <w:sz w:val="24"/>
          <w:highlight w:val="none"/>
        </w:rPr>
      </w:pPr>
      <w:r>
        <w:rPr>
          <w:rFonts w:hint="eastAsia" w:ascii="宋体" w:hAnsi="宋体"/>
          <w:sz w:val="24"/>
          <w:highlight w:val="none"/>
        </w:rPr>
        <w:t xml:space="preserve">投资者进行投资时，应严格遵守反洗钱相关法规的规定，切实履行反洗钱及反恐怖融资义务。 </w:t>
      </w:r>
    </w:p>
    <w:p>
      <w:pPr>
        <w:spacing w:line="360" w:lineRule="auto"/>
        <w:ind w:left="482"/>
        <w:rPr>
          <w:b/>
          <w:sz w:val="24"/>
          <w:highlight w:val="none"/>
        </w:rPr>
      </w:pPr>
    </w:p>
    <w:p>
      <w:pPr>
        <w:numPr>
          <w:ilvl w:val="0"/>
          <w:numId w:val="67"/>
        </w:numPr>
        <w:spacing w:line="360" w:lineRule="auto"/>
        <w:ind w:firstLine="482" w:firstLineChars="200"/>
        <w:outlineLvl w:val="2"/>
        <w:rPr>
          <w:rFonts w:hint="eastAsia"/>
          <w:b/>
          <w:sz w:val="24"/>
          <w:highlight w:val="none"/>
        </w:rPr>
      </w:pPr>
      <w:r>
        <w:rPr>
          <w:rFonts w:hint="eastAsia"/>
          <w:b/>
          <w:sz w:val="24"/>
          <w:highlight w:val="none"/>
        </w:rPr>
        <w:t>管理人权利与义务</w:t>
      </w:r>
    </w:p>
    <w:p>
      <w:pPr>
        <w:widowControl/>
        <w:numPr>
          <w:ilvl w:val="0"/>
          <w:numId w:val="69"/>
        </w:numPr>
        <w:spacing w:line="360" w:lineRule="auto"/>
        <w:contextualSpacing/>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69"/>
        </w:numPr>
        <w:spacing w:line="360" w:lineRule="auto"/>
        <w:contextualSpacing/>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69"/>
        </w:numPr>
        <w:spacing w:line="360" w:lineRule="auto"/>
        <w:contextualSpacing/>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69"/>
        </w:numPr>
        <w:spacing w:line="360" w:lineRule="auto"/>
        <w:contextualSpacing/>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69"/>
        </w:numPr>
        <w:spacing w:line="360" w:lineRule="auto"/>
        <w:contextualSpacing/>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69"/>
        </w:numPr>
        <w:spacing w:line="360" w:lineRule="auto"/>
        <w:contextualSpacing/>
        <w:rPr>
          <w:rFonts w:ascii="宋体" w:hAnsi="宋体"/>
          <w:sz w:val="24"/>
          <w:highlight w:val="none"/>
        </w:rPr>
      </w:pPr>
      <w:r>
        <w:rPr>
          <w:rFonts w:hint="eastAsia" w:ascii="宋体" w:hAnsi="宋体"/>
          <w:sz w:val="24"/>
          <w:highlight w:val="none"/>
        </w:rPr>
        <w:t>管理人应当选择具有证券投资基金托管业务资格的金融机构、银行业理财登记托管机构或者</w:t>
      </w:r>
      <w:r>
        <w:rPr>
          <w:rFonts w:hint="eastAsia" w:ascii="宋体" w:hAnsi="宋体" w:cs="宋体"/>
          <w:bCs/>
          <w:sz w:val="24"/>
          <w:highlight w:val="none"/>
        </w:rPr>
        <w:t>国务院银行业监督管理</w:t>
      </w:r>
      <w:r>
        <w:rPr>
          <w:rFonts w:hint="eastAsia" w:ascii="宋体" w:hAnsi="宋体" w:cs="宋体"/>
          <w:bCs/>
          <w:sz w:val="24"/>
          <w:highlight w:val="none"/>
          <w:lang w:val="en-US" w:eastAsia="zh-CN"/>
        </w:rPr>
        <w:t>机构</w:t>
      </w:r>
      <w:r>
        <w:rPr>
          <w:rFonts w:hint="eastAsia" w:ascii="宋体" w:hAnsi="宋体" w:cs="宋体"/>
          <w:bCs/>
          <w:sz w:val="24"/>
          <w:highlight w:val="none"/>
        </w:rPr>
        <w:t>认可</w:t>
      </w:r>
      <w:r>
        <w:rPr>
          <w:rFonts w:hint="eastAsia" w:ascii="宋体" w:hAnsi="宋体"/>
          <w:sz w:val="24"/>
          <w:highlight w:val="none"/>
        </w:rPr>
        <w:t xml:space="preserve">的其他机构托管理财计划。 </w:t>
      </w:r>
    </w:p>
    <w:p>
      <w:pPr>
        <w:widowControl/>
        <w:numPr>
          <w:ilvl w:val="0"/>
          <w:numId w:val="69"/>
        </w:numPr>
        <w:spacing w:line="360" w:lineRule="auto"/>
        <w:contextualSpacing/>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69"/>
        </w:numPr>
        <w:spacing w:line="360" w:lineRule="auto"/>
        <w:contextualSpacing/>
        <w:rPr>
          <w:rFonts w:ascii="宋体" w:hAnsi="宋体"/>
          <w:sz w:val="24"/>
          <w:highlight w:val="none"/>
        </w:rPr>
      </w:pPr>
      <w:r>
        <w:rPr>
          <w:rFonts w:hint="eastAsia" w:ascii="宋体" w:hAnsi="宋体"/>
          <w:sz w:val="24"/>
          <w:highlight w:val="none"/>
        </w:rPr>
        <w:t>管理人</w:t>
      </w:r>
      <w:r>
        <w:rPr>
          <w:rFonts w:hint="eastAsia" w:ascii="宋体" w:hAnsi="宋体" w:cs="宋体"/>
          <w:bCs/>
          <w:color w:val="000000"/>
          <w:sz w:val="24"/>
          <w:highlight w:val="none"/>
        </w:rPr>
        <w:t>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sz w:val="24"/>
          <w:highlight w:val="none"/>
        </w:rPr>
        <w:t xml:space="preserve"> </w:t>
      </w:r>
    </w:p>
    <w:p>
      <w:pPr>
        <w:widowControl/>
        <w:numPr>
          <w:ilvl w:val="0"/>
          <w:numId w:val="69"/>
        </w:numPr>
        <w:spacing w:line="360" w:lineRule="auto"/>
        <w:contextualSpacing/>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67"/>
        </w:numPr>
        <w:spacing w:line="360" w:lineRule="auto"/>
        <w:ind w:firstLine="482" w:firstLineChars="200"/>
        <w:outlineLvl w:val="2"/>
        <w:rPr>
          <w:rFonts w:hint="eastAsia"/>
          <w:b/>
          <w:sz w:val="24"/>
          <w:highlight w:val="none"/>
        </w:rPr>
      </w:pPr>
      <w:r>
        <w:rPr>
          <w:rFonts w:hint="eastAsia"/>
          <w:b/>
          <w:sz w:val="24"/>
          <w:highlight w:val="none"/>
        </w:rPr>
        <w:t>理财计划认（申）购、赎回及终止</w:t>
      </w:r>
    </w:p>
    <w:p>
      <w:pPr>
        <w:widowControl/>
        <w:numPr>
          <w:ilvl w:val="0"/>
          <w:numId w:val="70"/>
        </w:numPr>
        <w:spacing w:line="360" w:lineRule="auto"/>
        <w:contextualSpacing/>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70"/>
        </w:numPr>
        <w:spacing w:line="360" w:lineRule="auto"/>
        <w:contextualSpacing/>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0"/>
        </w:numPr>
        <w:spacing w:line="360" w:lineRule="auto"/>
        <w:contextualSpacing/>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0"/>
        </w:numPr>
        <w:spacing w:line="360" w:lineRule="auto"/>
        <w:contextualSpacing/>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70"/>
        </w:numPr>
        <w:spacing w:line="360" w:lineRule="auto"/>
        <w:contextualSpacing/>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授权杭银理财理财计划销售文件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0"/>
        </w:numPr>
        <w:spacing w:line="360" w:lineRule="auto"/>
        <w:contextualSpacing/>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67"/>
        </w:numPr>
        <w:spacing w:line="360" w:lineRule="auto"/>
        <w:ind w:firstLine="482" w:firstLineChars="200"/>
        <w:outlineLvl w:val="2"/>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67"/>
        </w:numPr>
        <w:spacing w:line="360" w:lineRule="auto"/>
        <w:ind w:firstLine="482" w:firstLineChars="200"/>
        <w:outlineLvl w:val="2"/>
        <w:rPr>
          <w:rFonts w:hint="eastAsia"/>
          <w:b/>
          <w:sz w:val="24"/>
          <w:highlight w:val="none"/>
        </w:rPr>
      </w:pPr>
      <w:r>
        <w:rPr>
          <w:rFonts w:hint="eastAsia"/>
          <w:b/>
          <w:sz w:val="24"/>
          <w:highlight w:val="none"/>
        </w:rPr>
        <w:t>违约责任及免责条款</w:t>
      </w:r>
    </w:p>
    <w:p>
      <w:pPr>
        <w:widowControl/>
        <w:numPr>
          <w:ilvl w:val="0"/>
          <w:numId w:val="71"/>
        </w:numPr>
        <w:spacing w:line="360" w:lineRule="auto"/>
        <w:contextualSpacing/>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val="en-US"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val="en-US" w:eastAsia="zh-CN"/>
        </w:rPr>
        <w:t>赎回</w:t>
      </w:r>
      <w:r>
        <w:rPr>
          <w:rFonts w:hint="eastAsia" w:ascii="宋体" w:hAnsi="宋体"/>
          <w:sz w:val="24"/>
          <w:highlight w:val="none"/>
        </w:rPr>
        <w:t>日前的理财收益，也不计付存款利息。</w:t>
      </w:r>
    </w:p>
    <w:p>
      <w:pPr>
        <w:widowControl/>
        <w:numPr>
          <w:ilvl w:val="0"/>
          <w:numId w:val="71"/>
        </w:numPr>
        <w:spacing w:line="360" w:lineRule="auto"/>
        <w:contextualSpacing/>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1"/>
        </w:numPr>
        <w:spacing w:line="360" w:lineRule="auto"/>
        <w:contextualSpacing/>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1"/>
        </w:numPr>
        <w:spacing w:line="360" w:lineRule="auto"/>
        <w:contextualSpacing/>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1"/>
        </w:numPr>
        <w:spacing w:line="360" w:lineRule="auto"/>
        <w:contextualSpacing/>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71"/>
        </w:numPr>
        <w:spacing w:line="360" w:lineRule="auto"/>
        <w:contextualSpacing/>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67"/>
        </w:numPr>
        <w:spacing w:line="360" w:lineRule="auto"/>
        <w:ind w:firstLine="482" w:firstLineChars="200"/>
        <w:outlineLvl w:val="2"/>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eastAsia="zh-CN"/>
        </w:rPr>
        <w:t>销售机构或</w:t>
      </w:r>
      <w:r>
        <w:rPr>
          <w:rFonts w:hint="eastAsia" w:ascii="宋体" w:hAnsi="宋体"/>
          <w:sz w:val="24"/>
          <w:highlight w:val="none"/>
        </w:rPr>
        <w:t>管理人所在地人民法院司法裁决。诉讼期间，未涉及争议的条款仍</w:t>
      </w:r>
      <w:r>
        <w:rPr>
          <w:rFonts w:hint="eastAsia" w:ascii="宋体" w:hAnsi="宋体"/>
          <w:sz w:val="24"/>
          <w:highlight w:val="none"/>
          <w:lang w:val="en-US" w:eastAsia="zh-CN"/>
        </w:rPr>
        <w:t>需</w:t>
      </w:r>
      <w:r>
        <w:rPr>
          <w:rFonts w:hint="eastAsia" w:ascii="宋体" w:hAnsi="宋体"/>
          <w:sz w:val="24"/>
          <w:highlight w:val="none"/>
        </w:rPr>
        <w:t>继续履行。</w:t>
      </w:r>
    </w:p>
    <w:p>
      <w:pPr>
        <w:spacing w:line="360" w:lineRule="auto"/>
        <w:ind w:left="482"/>
        <w:rPr>
          <w:b/>
          <w:sz w:val="24"/>
          <w:highlight w:val="none"/>
        </w:rPr>
      </w:pPr>
    </w:p>
    <w:p>
      <w:pPr>
        <w:numPr>
          <w:ilvl w:val="0"/>
          <w:numId w:val="67"/>
        </w:numPr>
        <w:spacing w:line="360" w:lineRule="auto"/>
        <w:ind w:firstLine="482" w:firstLineChars="200"/>
        <w:outlineLvl w:val="2"/>
        <w:rPr>
          <w:rFonts w:hint="eastAsia"/>
          <w:b/>
          <w:sz w:val="24"/>
          <w:highlight w:val="none"/>
        </w:rPr>
      </w:pPr>
      <w:r>
        <w:rPr>
          <w:rFonts w:hint="eastAsia"/>
          <w:b/>
          <w:sz w:val="24"/>
          <w:highlight w:val="none"/>
        </w:rPr>
        <w:t>协议生效和终止</w:t>
      </w:r>
    </w:p>
    <w:p>
      <w:pPr>
        <w:widowControl/>
        <w:numPr>
          <w:ilvl w:val="0"/>
          <w:numId w:val="72"/>
        </w:numPr>
        <w:spacing w:line="360" w:lineRule="auto"/>
        <w:contextualSpacing/>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72"/>
        </w:numPr>
        <w:spacing w:line="360" w:lineRule="auto"/>
        <w:contextualSpacing/>
        <w:rPr>
          <w:rFonts w:hint="eastAsia" w:ascii="宋体" w:hAnsi="宋体"/>
          <w:sz w:val="24"/>
          <w:highlight w:val="none"/>
        </w:rPr>
      </w:pPr>
      <w:r>
        <w:rPr>
          <w:rFonts w:hint="eastAsia" w:ascii="宋体" w:hAnsi="宋体"/>
          <w:sz w:val="24"/>
          <w:highlight w:val="none"/>
        </w:rPr>
        <w:t>本协议书以纸质书面形式订立的，自投资者</w:t>
      </w:r>
      <w:r>
        <w:rPr>
          <w:rFonts w:hint="eastAsia" w:ascii="宋体" w:hAnsi="宋体"/>
          <w:sz w:val="24"/>
          <w:highlight w:val="none"/>
          <w:lang w:val="en-US" w:eastAsia="zh-CN"/>
        </w:rPr>
        <w:t>签署（如投资者为个人，应签字；如投资者为机构，应法定代表人或授权代理人签字或盖章并加盖公章或有效授权印章）并经管理人系统确认购买理财计划份额</w:t>
      </w:r>
      <w:r>
        <w:rPr>
          <w:rFonts w:hint="eastAsia" w:ascii="宋体" w:hAnsi="宋体"/>
          <w:sz w:val="24"/>
          <w:highlight w:val="none"/>
        </w:rPr>
        <w:t>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72"/>
        </w:numPr>
        <w:spacing w:line="360" w:lineRule="auto"/>
        <w:contextualSpacing/>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2"/>
        </w:numPr>
        <w:spacing w:line="360" w:lineRule="auto"/>
        <w:contextualSpacing/>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67"/>
        </w:numPr>
        <w:spacing w:line="360" w:lineRule="auto"/>
        <w:ind w:firstLine="482" w:firstLineChars="200"/>
        <w:outlineLvl w:val="2"/>
        <w:rPr>
          <w:b/>
          <w:sz w:val="24"/>
          <w:highlight w:val="none"/>
        </w:rPr>
      </w:pPr>
      <w:r>
        <w:rPr>
          <w:rFonts w:hint="eastAsia"/>
          <w:b/>
          <w:sz w:val="24"/>
          <w:highlight w:val="none"/>
        </w:rPr>
        <w:t>附则</w:t>
      </w:r>
    </w:p>
    <w:p>
      <w:pPr>
        <w:widowControl/>
        <w:numPr>
          <w:ilvl w:val="0"/>
          <w:numId w:val="73"/>
        </w:numPr>
        <w:spacing w:line="360" w:lineRule="auto"/>
        <w:contextualSpacing/>
        <w:rPr>
          <w:rFonts w:ascii="宋体" w:hAnsi="宋体"/>
          <w:sz w:val="24"/>
          <w:highlight w:val="none"/>
        </w:rPr>
      </w:pPr>
      <w:r>
        <w:rPr>
          <w:rFonts w:hint="eastAsia" w:ascii="宋体" w:hAnsi="宋体"/>
          <w:sz w:val="24"/>
          <w:highlight w:val="none"/>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3"/>
        </w:numPr>
        <w:spacing w:line="360" w:lineRule="auto"/>
        <w:contextualSpacing/>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73"/>
        </w:numPr>
        <w:spacing w:line="360" w:lineRule="auto"/>
        <w:contextualSpacing/>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pStyle w:val="7"/>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spacing w:line="360" w:lineRule="auto"/>
        <w:rPr>
          <w:rFonts w:ascii="宋体" w:hAnsi="宋体"/>
          <w:sz w:val="24"/>
          <w:highlight w:val="none"/>
        </w:rPr>
      </w:pPr>
      <w:r>
        <w:rPr>
          <w:rFonts w:hint="eastAsia" w:ascii="宋体" w:hAnsi="宋体"/>
          <w:sz w:val="24"/>
          <w:highlight w:val="none"/>
        </w:rPr>
        <w:t>本页为纸质形式（如有）</w:t>
      </w:r>
      <w:r>
        <w:rPr>
          <w:rFonts w:hint="eastAsia" w:ascii="宋体" w:hAnsi="宋体"/>
          <w:sz w:val="24"/>
          <w:highlight w:val="none"/>
          <w:lang w:val="en-US" w:eastAsia="zh-CN"/>
        </w:rPr>
        <w:t>投资</w:t>
      </w:r>
      <w:r>
        <w:rPr>
          <w:rFonts w:hint="eastAsia" w:ascii="宋体" w:hAnsi="宋体"/>
          <w:sz w:val="24"/>
          <w:highlight w:val="none"/>
        </w:rPr>
        <w:t>协议书签章页</w:t>
      </w: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rFonts w:hint="eastAsia" w:ascii="宋体" w:hAnsi="宋体"/>
          <w:b/>
          <w:bCs/>
          <w:sz w:val="24"/>
          <w:highlight w:val="none"/>
        </w:rPr>
      </w:pPr>
      <w:r>
        <w:rPr>
          <w:rFonts w:hint="eastAsia" w:ascii="宋体" w:hAnsi="宋体"/>
          <w:b/>
          <w:bCs/>
          <w:sz w:val="24"/>
          <w:highlight w:val="none"/>
        </w:rPr>
        <w:t>投资者（签字</w:t>
      </w:r>
      <w:r>
        <w:rPr>
          <w:rFonts w:hint="eastAsia" w:ascii="宋体" w:hAnsi="宋体" w:eastAsia="宋体" w:cs="黑体"/>
          <w:b/>
          <w:bCs/>
          <w:sz w:val="24"/>
          <w:highlight w:val="none"/>
          <w:lang w:eastAsia="zh-CN"/>
        </w:rPr>
        <w:t>或签章</w:t>
      </w:r>
      <w:r>
        <w:rPr>
          <w:rFonts w:hint="eastAsia" w:ascii="宋体" w:hAnsi="宋体"/>
          <w:b/>
          <w:bCs/>
          <w:sz w:val="24"/>
          <w:highlight w:val="none"/>
        </w:rPr>
        <w:t>）：</w:t>
      </w:r>
    </w:p>
    <w:p>
      <w:pPr>
        <w:spacing w:line="360" w:lineRule="auto"/>
        <w:rPr>
          <w:rFonts w:hint="eastAsia" w:ascii="宋体" w:hAnsi="宋体"/>
          <w:b/>
          <w:bCs/>
          <w:sz w:val="24"/>
          <w:highlight w:val="none"/>
        </w:rPr>
      </w:pPr>
    </w:p>
    <w:p>
      <w:pPr>
        <w:spacing w:line="360" w:lineRule="auto"/>
        <w:rPr>
          <w:rFonts w:hint="eastAsia" w:ascii="宋体" w:hAnsi="宋体"/>
          <w:b/>
          <w:bCs/>
          <w:sz w:val="24"/>
          <w:highlight w:val="none"/>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hint="eastAsia" w:ascii="宋体" w:hAnsi="宋体"/>
          <w:b/>
          <w:bCs/>
          <w:sz w:val="24"/>
          <w:highlight w:val="none"/>
        </w:rPr>
      </w:pPr>
    </w:p>
    <w:p>
      <w:pPr>
        <w:spacing w:line="360" w:lineRule="auto"/>
        <w:rPr>
          <w:rFonts w:hint="eastAsia" w:ascii="宋体" w:hAnsi="宋体"/>
          <w:b/>
          <w:bCs/>
          <w:sz w:val="24"/>
          <w:highlight w:val="none"/>
        </w:rPr>
      </w:pPr>
    </w:p>
    <w:p>
      <w:pPr>
        <w:spacing w:line="360" w:lineRule="auto"/>
        <w:rPr>
          <w:rFonts w:hint="eastAsia" w:ascii="宋体" w:hAnsi="宋体"/>
          <w:b/>
          <w:bCs/>
          <w:sz w:val="24"/>
          <w:highlight w:val="none"/>
        </w:rPr>
      </w:pPr>
    </w:p>
    <w:p>
      <w:pPr>
        <w:spacing w:line="360" w:lineRule="auto"/>
        <w:rPr>
          <w:rFonts w:hint="eastAsia" w:ascii="宋体" w:hAnsi="宋体"/>
          <w:b/>
          <w:bCs/>
          <w:sz w:val="24"/>
          <w:highlight w:val="none"/>
        </w:rPr>
      </w:pPr>
    </w:p>
    <w:p>
      <w:pPr>
        <w:spacing w:line="360" w:lineRule="auto"/>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jc w:val="center"/>
        <w:rPr>
          <w:rFonts w:hint="eastAsia"/>
          <w:b/>
          <w:sz w:val="44"/>
          <w:szCs w:val="44"/>
          <w:highlight w:val="none"/>
        </w:rPr>
      </w:pPr>
    </w:p>
    <w:p>
      <w:pPr>
        <w:jc w:val="center"/>
        <w:rPr>
          <w:rFonts w:hint="eastAsia"/>
          <w:b/>
          <w:sz w:val="44"/>
          <w:szCs w:val="44"/>
          <w:highlight w:val="none"/>
        </w:rPr>
      </w:pPr>
    </w:p>
    <w:p>
      <w:pPr>
        <w:jc w:val="center"/>
        <w:rPr>
          <w:rFonts w:hint="eastAsia"/>
          <w:b/>
          <w:sz w:val="44"/>
          <w:szCs w:val="44"/>
          <w:highlight w:val="none"/>
        </w:rPr>
      </w:pPr>
    </w:p>
    <w:p>
      <w:pPr>
        <w:jc w:val="center"/>
        <w:rPr>
          <w:rFonts w:hint="eastAsia"/>
          <w:b/>
          <w:sz w:val="44"/>
          <w:szCs w:val="44"/>
          <w:highlight w:val="none"/>
        </w:rPr>
      </w:pPr>
    </w:p>
    <w:p>
      <w:pPr>
        <w:jc w:val="center"/>
        <w:rPr>
          <w:rFonts w:hint="eastAsia"/>
          <w:b/>
          <w:sz w:val="44"/>
          <w:szCs w:val="44"/>
          <w:highlight w:val="none"/>
        </w:rPr>
      </w:pPr>
    </w:p>
    <w:p>
      <w:pPr>
        <w:jc w:val="center"/>
        <w:rPr>
          <w:rFonts w:hint="eastAsia"/>
          <w:b/>
          <w:sz w:val="44"/>
          <w:szCs w:val="44"/>
          <w:highlight w:val="none"/>
        </w:rPr>
      </w:pPr>
    </w:p>
    <w:p>
      <w:pPr>
        <w:jc w:val="both"/>
        <w:rPr>
          <w:rFonts w:hint="eastAsia"/>
          <w:b/>
          <w:sz w:val="44"/>
          <w:szCs w:val="44"/>
          <w:highlight w:val="none"/>
        </w:rPr>
      </w:pPr>
    </w:p>
    <w:p>
      <w:pPr>
        <w:jc w:val="center"/>
        <w:outlineLvl w:val="0"/>
        <w:rPr>
          <w:rFonts w:hint="eastAsia"/>
          <w:b/>
          <w:sz w:val="44"/>
          <w:szCs w:val="44"/>
          <w:highlight w:val="none"/>
        </w:rPr>
      </w:pPr>
      <w:r>
        <w:rPr>
          <w:rFonts w:hint="eastAsia"/>
          <w:b/>
          <w:sz w:val="44"/>
          <w:szCs w:val="44"/>
          <w:highlight w:val="none"/>
        </w:rPr>
        <w:t>杭银理财理财计划销售协议书</w:t>
      </w:r>
    </w:p>
    <w:p>
      <w:pPr>
        <w:jc w:val="center"/>
        <w:outlineLvl w:val="1"/>
        <w:rPr>
          <w:rFonts w:hint="eastAsia" w:ascii="宋体" w:hAnsi="宋体" w:cs="宋体"/>
          <w:sz w:val="28"/>
          <w:szCs w:val="28"/>
          <w:highlight w:val="none"/>
        </w:rPr>
      </w:pPr>
      <w:r>
        <w:rPr>
          <w:rFonts w:hint="eastAsia" w:ascii="宋体" w:hAnsi="宋体" w:cs="宋体"/>
          <w:sz w:val="28"/>
          <w:szCs w:val="28"/>
          <w:highlight w:val="none"/>
        </w:rPr>
        <w:t>（</w:t>
      </w:r>
      <w:r>
        <w:rPr>
          <w:rFonts w:hint="eastAsia" w:ascii="宋体" w:hAnsi="宋体" w:cs="宋体"/>
          <w:sz w:val="28"/>
          <w:szCs w:val="28"/>
          <w:highlight w:val="none"/>
          <w:lang w:eastAsia="zh-CN"/>
        </w:rPr>
        <w:t>202201</w:t>
      </w:r>
      <w:r>
        <w:rPr>
          <w:rFonts w:hint="eastAsia" w:ascii="宋体" w:hAnsi="宋体" w:cs="宋体"/>
          <w:sz w:val="28"/>
          <w:szCs w:val="28"/>
          <w:highlight w:val="none"/>
        </w:rPr>
        <w:t>版）</w:t>
      </w:r>
    </w:p>
    <w:p>
      <w:pPr>
        <w:spacing w:line="360" w:lineRule="auto"/>
        <w:jc w:val="center"/>
        <w:outlineLvl w:val="2"/>
        <w:rPr>
          <w:sz w:val="32"/>
          <w:szCs w:val="40"/>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特别提示：《杭银理财理财计划销售协议书</w:t>
      </w:r>
      <w:r>
        <w:rPr>
          <w:rFonts w:hint="eastAsia" w:ascii="宋体" w:hAnsi="宋体" w:cs="宋体"/>
          <w:b/>
          <w:bCs/>
          <w:sz w:val="24"/>
          <w:highlight w:val="none"/>
        </w:rPr>
        <w:t>（</w:t>
      </w:r>
      <w:r>
        <w:rPr>
          <w:rFonts w:hint="eastAsia" w:ascii="宋体" w:hAnsi="宋体" w:cs="宋体"/>
          <w:b/>
          <w:bCs/>
          <w:sz w:val="24"/>
          <w:highlight w:val="none"/>
          <w:lang w:eastAsia="zh-CN"/>
        </w:rPr>
        <w:t>202201</w:t>
      </w:r>
      <w:r>
        <w:rPr>
          <w:rFonts w:hint="eastAsia" w:ascii="宋体" w:hAnsi="宋体" w:cs="宋体"/>
          <w:b/>
          <w:bCs/>
          <w:sz w:val="24"/>
          <w:highlight w:val="none"/>
        </w:rPr>
        <w:t>版）</w:t>
      </w:r>
      <w:r>
        <w:rPr>
          <w:rFonts w:hint="eastAsia"/>
          <w:b/>
          <w:bCs/>
          <w:sz w:val="24"/>
          <w:highlight w:val="none"/>
        </w:rPr>
        <w:t>》与对应期次的理财计划风险揭示书、理财计划产品说明书、投资者权益须知及理财计划投资协议书共同构成完整且不可分割的理财计划合同。杭银理财有限责任公司（以下简称“杭银理财”）建议投资者在购买理财计划前认真阅读全套理财计划合同，投资者签署本协议书（含电子渠道签署）即视为已详细阅读理财计划合同并知悉相关风险，自愿投资购买理财计划、遵守合同约定并承担相应风险。</w:t>
      </w:r>
    </w:p>
    <w:p>
      <w:pPr>
        <w:spacing w:line="360" w:lineRule="auto"/>
        <w:ind w:firstLine="482" w:firstLineChars="200"/>
        <w:rPr>
          <w:b/>
          <w:bCs/>
          <w:sz w:val="24"/>
          <w:highlight w:val="none"/>
        </w:rPr>
      </w:pPr>
      <w:r>
        <w:rPr>
          <w:rFonts w:hint="eastAsia"/>
          <w:b/>
          <w:bCs/>
          <w:sz w:val="24"/>
          <w:highlight w:val="none"/>
        </w:rPr>
        <w:t>理财非存款、产品有风险、投资须谨慎，理财计划过往业绩不代表其未来表现，不等于理财计划实际收益。</w:t>
      </w:r>
    </w:p>
    <w:p>
      <w:pPr>
        <w:widowControl/>
        <w:spacing w:line="360" w:lineRule="auto"/>
        <w:ind w:firstLine="480" w:firstLineChars="200"/>
        <w:rPr>
          <w:rFonts w:hint="eastAsia"/>
          <w:sz w:val="24"/>
          <w:highlight w:val="none"/>
        </w:rPr>
      </w:pPr>
      <w:r>
        <w:rPr>
          <w:rFonts w:hint="eastAsia"/>
          <w:sz w:val="24"/>
          <w:highlight w:val="none"/>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sz w:val="24"/>
          <w:highlight w:val="none"/>
        </w:rPr>
        <w:t>接受理财公司委托销售其发行理财计划的代理销售机构（以下简称“销售机构”）和投资者三方。理财公司是理财计划的设计发行方与管理人，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sz w:val="24"/>
          <w:highlight w:val="none"/>
        </w:rPr>
        <w:t>销售机构面向投资者实施销售行为，两方共同承担理财计划的合规销售和投资者合法权益保护义务。</w:t>
      </w:r>
    </w:p>
    <w:p>
      <w:pPr>
        <w:widowControl/>
        <w:spacing w:line="360" w:lineRule="auto"/>
        <w:ind w:firstLine="480" w:firstLineChars="200"/>
        <w:rPr>
          <w:rFonts w:hint="eastAsia"/>
          <w:sz w:val="24"/>
          <w:highlight w:val="none"/>
        </w:rPr>
      </w:pPr>
      <w:r>
        <w:rPr>
          <w:rFonts w:hint="eastAsia"/>
          <w:sz w:val="24"/>
          <w:highlight w:val="none"/>
        </w:rPr>
        <w:t>投资者与销售机构经平等友好协商，本着自愿、诚实信用原则，就投资者购买销售机构代理销售的理财计划有关事宜达成如下协议（以下简称“本协议”）：</w:t>
      </w:r>
    </w:p>
    <w:p>
      <w:pPr>
        <w:widowControl/>
        <w:spacing w:line="360" w:lineRule="auto"/>
        <w:ind w:firstLine="480" w:firstLineChars="200"/>
        <w:rPr>
          <w:rFonts w:hint="eastAsia"/>
          <w:sz w:val="24"/>
          <w:highlight w:val="none"/>
        </w:rPr>
      </w:pPr>
    </w:p>
    <w:p>
      <w:pPr>
        <w:widowControl/>
        <w:spacing w:line="360" w:lineRule="auto"/>
        <w:outlineLvl w:val="2"/>
        <w:rPr>
          <w:rFonts w:hint="eastAsia"/>
          <w:b/>
          <w:bCs/>
          <w:sz w:val="24"/>
          <w:highlight w:val="none"/>
        </w:rPr>
      </w:pPr>
      <w:r>
        <w:rPr>
          <w:rFonts w:hint="eastAsia"/>
          <w:b/>
          <w:bCs/>
          <w:sz w:val="24"/>
          <w:highlight w:val="none"/>
        </w:rPr>
        <w:t xml:space="preserve">    第一条 名词释义</w:t>
      </w:r>
    </w:p>
    <w:p>
      <w:pPr>
        <w:widowControl/>
        <w:spacing w:line="360" w:lineRule="auto"/>
        <w:ind w:firstLine="480" w:firstLineChars="200"/>
        <w:jc w:val="left"/>
        <w:rPr>
          <w:rFonts w:hint="eastAsia"/>
          <w:bCs/>
          <w:sz w:val="24"/>
          <w:highlight w:val="none"/>
        </w:rPr>
      </w:pPr>
      <w:r>
        <w:rPr>
          <w:rFonts w:hint="eastAsia"/>
          <w:bCs/>
          <w:sz w:val="24"/>
          <w:highlight w:val="none"/>
        </w:rPr>
        <w:t>详见对应期次的理财计划产品说明书“释义”部分。</w:t>
      </w:r>
    </w:p>
    <w:p>
      <w:pPr>
        <w:widowControl/>
        <w:spacing w:line="360" w:lineRule="auto"/>
        <w:ind w:firstLine="480" w:firstLineChars="200"/>
        <w:jc w:val="left"/>
        <w:rPr>
          <w:rFonts w:hint="eastAsia"/>
          <w:bCs/>
          <w:sz w:val="24"/>
          <w:highlight w:val="none"/>
        </w:rPr>
      </w:pPr>
    </w:p>
    <w:p>
      <w:pPr>
        <w:widowControl/>
        <w:spacing w:line="360" w:lineRule="auto"/>
        <w:ind w:firstLine="482" w:firstLineChars="200"/>
        <w:jc w:val="left"/>
        <w:outlineLvl w:val="2"/>
        <w:rPr>
          <w:rFonts w:hint="eastAsia"/>
          <w:b/>
          <w:bCs/>
          <w:sz w:val="24"/>
          <w:highlight w:val="none"/>
        </w:rPr>
      </w:pPr>
      <w:r>
        <w:rPr>
          <w:rFonts w:hint="eastAsia"/>
          <w:b/>
          <w:bCs/>
          <w:sz w:val="24"/>
          <w:highlight w:val="none"/>
        </w:rPr>
        <w:t>第二条 投资者权利与义务</w:t>
      </w:r>
    </w:p>
    <w:p>
      <w:pPr>
        <w:widowControl/>
        <w:numPr>
          <w:ilvl w:val="0"/>
          <w:numId w:val="74"/>
        </w:numPr>
        <w:spacing w:line="360" w:lineRule="auto"/>
        <w:contextualSpacing/>
        <w:rPr>
          <w:rFonts w:hint="eastAsia"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olor w:val="000000"/>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4"/>
        </w:numPr>
        <w:spacing w:line="360" w:lineRule="auto"/>
        <w:contextualSpacing/>
        <w:rPr>
          <w:rFonts w:hint="eastAsia"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74"/>
        </w:numPr>
        <w:spacing w:line="360" w:lineRule="auto"/>
        <w:contextualSpacing/>
        <w:rPr>
          <w:rFonts w:hint="eastAsia" w:ascii="宋体" w:hAnsi="宋体"/>
          <w:sz w:val="24"/>
          <w:highlight w:val="none"/>
        </w:rPr>
      </w:pPr>
      <w:r>
        <w:rPr>
          <w:rFonts w:hint="eastAsia" w:ascii="宋体" w:hAnsi="宋体"/>
          <w:b/>
          <w:bCs/>
          <w:sz w:val="24"/>
          <w:highlight w:val="none"/>
        </w:rPr>
        <w:t>投资者购买销售机构代理销售的私募理财计划后，可以享有24 小时的投资冷静期，在投资冷静期内，如投资者改变投资决定，应提出解除相应理财计划合同文件申请，销售机构将及时退还投资者的全部投资款项。</w:t>
      </w:r>
      <w:r>
        <w:rPr>
          <w:rFonts w:hint="eastAsia" w:ascii="宋体" w:hAnsi="宋体"/>
          <w:sz w:val="24"/>
          <w:highlight w:val="none"/>
        </w:rPr>
        <w:t>投资冷静期相关约定详见理财计划产品说明书。</w:t>
      </w:r>
    </w:p>
    <w:p>
      <w:pPr>
        <w:widowControl/>
        <w:numPr>
          <w:ilvl w:val="0"/>
          <w:numId w:val="74"/>
        </w:numPr>
        <w:spacing w:line="360" w:lineRule="auto"/>
        <w:contextualSpacing/>
        <w:rPr>
          <w:rFonts w:hint="eastAsia"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74"/>
        </w:numPr>
        <w:spacing w:line="360" w:lineRule="auto"/>
        <w:contextualSpacing/>
        <w:rPr>
          <w:rFonts w:hint="eastAsia"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不会违反任何法院或政府机关所作出的适用于投资者或投资者任何资产的判决或指令；不会违反对投资者或投资者任何资产有约束力的任何重大协议条款。投资者应在签署本协议的同时在其授权指定的账户中（以下简称“授权指定账户”）存入足额的资金以确保账户余额大于或等于认/申购金额。</w:t>
      </w:r>
    </w:p>
    <w:p>
      <w:pPr>
        <w:widowControl/>
        <w:numPr>
          <w:ilvl w:val="0"/>
          <w:numId w:val="74"/>
        </w:numPr>
        <w:spacing w:line="360" w:lineRule="auto"/>
        <w:contextualSpacing/>
        <w:rPr>
          <w:rFonts w:hint="eastAsia" w:ascii="宋体" w:hAnsi="宋体"/>
          <w:sz w:val="24"/>
          <w:highlight w:val="none"/>
        </w:rPr>
      </w:pPr>
      <w:r>
        <w:rPr>
          <w:rFonts w:hint="eastAsia" w:ascii="宋体" w:hAnsi="宋体"/>
          <w:b/>
          <w:bCs/>
          <w:sz w:val="24"/>
          <w:highlight w:val="none"/>
        </w:rPr>
        <w:t>投资者在此确认销售机构的系统记录以及录音、录像构成对投资者操作行为（包括但不限于购买、赎回、撤单）的有效证据，并且在双方发生争议时可以作为合法有效的证据使用</w:t>
      </w:r>
      <w:r>
        <w:rPr>
          <w:rFonts w:hint="eastAsia" w:ascii="宋体" w:hAnsi="宋体"/>
          <w:sz w:val="24"/>
          <w:highlight w:val="none"/>
        </w:rPr>
        <w:t>。</w:t>
      </w:r>
    </w:p>
    <w:p>
      <w:pPr>
        <w:widowControl/>
        <w:numPr>
          <w:ilvl w:val="0"/>
          <w:numId w:val="74"/>
        </w:numPr>
        <w:spacing w:line="360" w:lineRule="auto"/>
        <w:contextualSpacing/>
        <w:rPr>
          <w:rFonts w:hint="eastAsia" w:ascii="宋体" w:hAnsi="宋体"/>
          <w:sz w:val="24"/>
          <w:highlight w:val="none"/>
        </w:rPr>
      </w:pPr>
      <w:r>
        <w:rPr>
          <w:rFonts w:hint="eastAsia" w:ascii="宋体" w:hAnsi="宋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sz w:val="24"/>
          <w:highlight w:val="none"/>
          <w:lang w:eastAsia="zh-CN"/>
        </w:rPr>
        <w:t>销售机构</w:t>
      </w:r>
      <w:r>
        <w:rPr>
          <w:rFonts w:hint="eastAsia" w:ascii="宋体" w:hAnsi="宋体"/>
          <w:sz w:val="24"/>
          <w:highlight w:val="none"/>
        </w:rPr>
        <w:t xml:space="preserve">对此不承担任何责任。 </w:t>
      </w:r>
    </w:p>
    <w:p>
      <w:pPr>
        <w:widowControl/>
        <w:numPr>
          <w:ilvl w:val="0"/>
          <w:numId w:val="74"/>
        </w:numPr>
        <w:spacing w:line="360" w:lineRule="auto"/>
        <w:contextualSpacing/>
        <w:rPr>
          <w:rFonts w:hint="eastAsia" w:ascii="宋体" w:hAnsi="宋体"/>
          <w:sz w:val="24"/>
          <w:highlight w:val="none"/>
        </w:rPr>
      </w:pPr>
      <w:r>
        <w:rPr>
          <w:rFonts w:hint="eastAsia" w:ascii="宋体" w:hAnsi="宋体"/>
          <w:sz w:val="24"/>
          <w:highlight w:val="none"/>
        </w:rPr>
        <w:t>在本理财计划存续期内，如有权机关要求</w:t>
      </w:r>
      <w:r>
        <w:rPr>
          <w:rFonts w:hint="eastAsia" w:ascii="宋体" w:hAnsi="宋体"/>
          <w:sz w:val="24"/>
          <w:highlight w:val="none"/>
          <w:lang w:eastAsia="zh-CN"/>
        </w:rPr>
        <w:t>销售机构</w:t>
      </w:r>
      <w:r>
        <w:rPr>
          <w:rFonts w:hint="eastAsia" w:ascii="宋体" w:hAnsi="宋体"/>
          <w:sz w:val="24"/>
          <w:highlight w:val="none"/>
        </w:rPr>
        <w:t>配合对投资者理财份额、理财账户、授权指定账户进行查封、冻结或扣划的，</w:t>
      </w:r>
      <w:r>
        <w:rPr>
          <w:rFonts w:hint="eastAsia" w:ascii="宋体" w:hAnsi="宋体"/>
          <w:sz w:val="24"/>
          <w:highlight w:val="none"/>
          <w:lang w:eastAsia="zh-CN"/>
        </w:rPr>
        <w:t>销售机构</w:t>
      </w:r>
      <w:r>
        <w:rPr>
          <w:rFonts w:hint="eastAsia" w:ascii="宋体" w:hAnsi="宋体"/>
          <w:sz w:val="24"/>
          <w:highlight w:val="none"/>
        </w:rPr>
        <w:t>有权根据实际情况采取相应措施。</w:t>
      </w:r>
      <w:r>
        <w:rPr>
          <w:rFonts w:hint="eastAsia" w:ascii="宋体" w:hAnsi="宋体"/>
          <w:sz w:val="24"/>
          <w:highlight w:val="none"/>
          <w:lang w:eastAsia="zh-CN"/>
        </w:rPr>
        <w:t>销售机构</w:t>
      </w:r>
      <w:r>
        <w:rPr>
          <w:rFonts w:hint="eastAsia" w:ascii="宋体" w:hAnsi="宋体"/>
          <w:sz w:val="24"/>
          <w:highlight w:val="none"/>
        </w:rPr>
        <w:t xml:space="preserve">对上述后果不承担任何责任。 </w:t>
      </w:r>
    </w:p>
    <w:p>
      <w:pPr>
        <w:widowControl/>
        <w:numPr>
          <w:ilvl w:val="0"/>
          <w:numId w:val="74"/>
        </w:numPr>
        <w:spacing w:line="360" w:lineRule="auto"/>
        <w:ind w:left="0" w:firstLine="0"/>
        <w:contextualSpacing/>
        <w:rPr>
          <w:rFonts w:hint="eastAsia"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w:t>
      </w:r>
      <w:r>
        <w:rPr>
          <w:rFonts w:hint="eastAsia" w:ascii="宋体" w:hAnsi="宋体"/>
          <w:sz w:val="24"/>
          <w:highlight w:val="none"/>
          <w:lang w:eastAsia="zh-CN"/>
        </w:rPr>
        <w:t>销售机构</w:t>
      </w:r>
      <w:r>
        <w:rPr>
          <w:rFonts w:hint="eastAsia" w:ascii="宋体" w:hAnsi="宋体"/>
          <w:sz w:val="24"/>
          <w:highlight w:val="none"/>
        </w:rPr>
        <w:t>不承担任何责任。</w:t>
      </w:r>
    </w:p>
    <w:p>
      <w:pPr>
        <w:widowControl/>
        <w:numPr>
          <w:ilvl w:val="0"/>
          <w:numId w:val="68"/>
        </w:numPr>
        <w:spacing w:line="360" w:lineRule="auto"/>
        <w:contextualSpacing/>
        <w:rPr>
          <w:rFonts w:hint="eastAsia" w:ascii="宋体" w:hAnsi="宋体"/>
          <w:sz w:val="24"/>
          <w:highlight w:val="none"/>
        </w:rPr>
      </w:pPr>
      <w:r>
        <w:rPr>
          <w:rFonts w:hint="eastAsia" w:ascii="宋体" w:hAnsi="宋体"/>
          <w:sz w:val="24"/>
          <w:highlight w:val="none"/>
        </w:rPr>
        <w:t>投资者应确保其提供的所有资料真实、完整、合法、有效，如果有任何变更，投资者应及时通知</w:t>
      </w:r>
      <w:r>
        <w:rPr>
          <w:rFonts w:hint="eastAsia" w:ascii="宋体" w:hAnsi="宋体"/>
          <w:sz w:val="24"/>
          <w:highlight w:val="none"/>
          <w:lang w:eastAsia="zh-CN"/>
        </w:rPr>
        <w:t>销售机构</w:t>
      </w:r>
      <w:r>
        <w:rPr>
          <w:rFonts w:hint="eastAsia" w:ascii="宋体" w:hAnsi="宋体"/>
          <w:sz w:val="24"/>
          <w:highlight w:val="none"/>
        </w:rPr>
        <w:t>并办理变更手续。如因投资者未及时通知</w:t>
      </w:r>
      <w:r>
        <w:rPr>
          <w:rFonts w:hint="eastAsia" w:ascii="宋体" w:hAnsi="宋体"/>
          <w:sz w:val="24"/>
          <w:highlight w:val="none"/>
          <w:lang w:eastAsia="zh-CN"/>
        </w:rPr>
        <w:t>销售机构</w:t>
      </w:r>
      <w:r>
        <w:rPr>
          <w:rFonts w:hint="eastAsia" w:ascii="宋体" w:hAnsi="宋体"/>
          <w:sz w:val="24"/>
          <w:highlight w:val="none"/>
        </w:rPr>
        <w:t>并办理相应的变更手续，由此导致的一切后果由投资者自行承担，</w:t>
      </w:r>
      <w:r>
        <w:rPr>
          <w:rFonts w:hint="eastAsia" w:ascii="宋体" w:hAnsi="宋体"/>
          <w:sz w:val="24"/>
          <w:highlight w:val="none"/>
          <w:lang w:eastAsia="zh-CN"/>
        </w:rPr>
        <w:t>销售机构</w:t>
      </w:r>
      <w:r>
        <w:rPr>
          <w:rFonts w:hint="eastAsia" w:ascii="宋体" w:hAnsi="宋体"/>
          <w:sz w:val="24"/>
          <w:highlight w:val="none"/>
        </w:rPr>
        <w:t xml:space="preserve">对此不承担任何责任。 </w:t>
      </w:r>
    </w:p>
    <w:p>
      <w:pPr>
        <w:widowControl/>
        <w:numPr>
          <w:ilvl w:val="0"/>
          <w:numId w:val="68"/>
        </w:numPr>
        <w:spacing w:line="360" w:lineRule="auto"/>
        <w:contextualSpacing/>
        <w:rPr>
          <w:rFonts w:hint="eastAsia" w:ascii="宋体" w:hAnsi="宋体"/>
          <w:sz w:val="24"/>
          <w:highlight w:val="none"/>
        </w:rPr>
      </w:pPr>
      <w:r>
        <w:rPr>
          <w:rFonts w:hint="eastAsia" w:ascii="宋体" w:hAnsi="宋体"/>
          <w:sz w:val="24"/>
          <w:highlight w:val="none"/>
        </w:rPr>
        <w:t>投资者对本协议及其条款负有保密义务，未经</w:t>
      </w:r>
      <w:r>
        <w:rPr>
          <w:rFonts w:hint="eastAsia" w:ascii="宋体" w:hAnsi="宋体"/>
          <w:sz w:val="24"/>
          <w:highlight w:val="none"/>
          <w:lang w:eastAsia="zh-CN"/>
        </w:rPr>
        <w:t>销售机构</w:t>
      </w:r>
      <w:r>
        <w:rPr>
          <w:rFonts w:hint="eastAsia" w:ascii="宋体" w:hAnsi="宋体"/>
          <w:sz w:val="24"/>
          <w:highlight w:val="none"/>
        </w:rPr>
        <w:t>书面许可，不得向任何组织、个人提供或泄露与</w:t>
      </w:r>
      <w:r>
        <w:rPr>
          <w:rFonts w:hint="eastAsia" w:ascii="宋体" w:hAnsi="宋体"/>
          <w:sz w:val="24"/>
          <w:highlight w:val="none"/>
          <w:lang w:eastAsia="zh-CN"/>
        </w:rPr>
        <w:t>销售机构</w:t>
      </w:r>
      <w:r>
        <w:rPr>
          <w:rFonts w:hint="eastAsia" w:ascii="宋体" w:hAnsi="宋体"/>
          <w:sz w:val="24"/>
          <w:highlight w:val="none"/>
        </w:rPr>
        <w:t>有关的业务资料及信息，但法律、法规另有规定的除外。</w:t>
      </w:r>
    </w:p>
    <w:p>
      <w:pPr>
        <w:widowControl/>
        <w:numPr>
          <w:ilvl w:val="0"/>
          <w:numId w:val="68"/>
        </w:numPr>
        <w:spacing w:line="360" w:lineRule="auto"/>
        <w:contextualSpacing/>
        <w:rPr>
          <w:rFonts w:hint="eastAsia" w:ascii="宋体" w:hAnsi="宋体"/>
          <w:sz w:val="24"/>
          <w:highlight w:val="none"/>
        </w:rPr>
      </w:pPr>
      <w:r>
        <w:rPr>
          <w:rFonts w:hint="eastAsia" w:ascii="宋体" w:hAnsi="宋体"/>
          <w:sz w:val="24"/>
          <w:highlight w:val="none"/>
        </w:rPr>
        <w:t>投资者进行投资时，应严格遵守反洗钱相关法规的规定，切实履行反洗钱及反恐怖融资义务。</w:t>
      </w:r>
    </w:p>
    <w:p>
      <w:pPr>
        <w:widowControl/>
        <w:numPr>
          <w:ilvl w:val="0"/>
          <w:numId w:val="68"/>
        </w:numPr>
        <w:spacing w:line="360" w:lineRule="auto"/>
        <w:contextualSpacing/>
        <w:rPr>
          <w:rFonts w:hint="eastAsia" w:ascii="宋体" w:hAnsi="宋体"/>
          <w:b/>
          <w:bCs/>
          <w:sz w:val="24"/>
          <w:highlight w:val="none"/>
        </w:rPr>
      </w:pPr>
      <w:r>
        <w:rPr>
          <w:rFonts w:hint="eastAsia" w:ascii="宋体" w:hAnsi="宋体"/>
          <w:b/>
          <w:bCs/>
          <w:sz w:val="24"/>
          <w:highlight w:val="none"/>
        </w:rPr>
        <w:t>投资者个人信息授权</w:t>
      </w:r>
    </w:p>
    <w:p>
      <w:pPr>
        <w:widowControl/>
        <w:spacing w:line="360" w:lineRule="auto"/>
        <w:ind w:firstLine="482" w:firstLineChars="200"/>
        <w:contextualSpacing/>
        <w:rPr>
          <w:rFonts w:hint="eastAsia" w:ascii="宋体" w:hAnsi="宋体"/>
          <w:b/>
          <w:bCs/>
          <w:sz w:val="24"/>
          <w:highlight w:val="none"/>
        </w:rPr>
      </w:pPr>
      <w:r>
        <w:rPr>
          <w:rFonts w:hint="eastAsia" w:ascii="宋体" w:hAnsi="宋体"/>
          <w:b/>
          <w:bCs/>
          <w:sz w:val="24"/>
          <w:highlight w:val="none"/>
        </w:rPr>
        <w:t>基于</w:t>
      </w:r>
      <w:r>
        <w:rPr>
          <w:rFonts w:hint="eastAsia" w:ascii="宋体" w:hAnsi="宋体"/>
          <w:b/>
          <w:bCs/>
          <w:sz w:val="24"/>
          <w:highlight w:val="none"/>
          <w:lang w:eastAsia="zh-CN"/>
        </w:rPr>
        <w:t>销售机构</w:t>
      </w:r>
      <w:r>
        <w:rPr>
          <w:rFonts w:hint="eastAsia" w:ascii="宋体" w:hAnsi="宋体"/>
          <w:b/>
          <w:bCs/>
          <w:sz w:val="24"/>
          <w:highlight w:val="none"/>
        </w:rPr>
        <w:t>履行本协议、进行服务管理和风险管理、报送监管信息等需要，履行反洗钱、投资者资质审核和销售适当性等法律法规和监管要求的义务，投资者在此同意并授权</w:t>
      </w:r>
      <w:r>
        <w:rPr>
          <w:rFonts w:hint="eastAsia" w:ascii="宋体" w:hAnsi="宋体"/>
          <w:b/>
          <w:bCs/>
          <w:sz w:val="24"/>
          <w:highlight w:val="none"/>
          <w:lang w:eastAsia="zh-CN"/>
        </w:rPr>
        <w:t>销售机构</w:t>
      </w:r>
      <w:r>
        <w:rPr>
          <w:rFonts w:hint="eastAsia" w:ascii="宋体" w:hAnsi="宋体"/>
          <w:b/>
          <w:bCs/>
          <w:sz w:val="24"/>
          <w:highlight w:val="none"/>
        </w:rPr>
        <w:t>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spacing w:line="360" w:lineRule="auto"/>
        <w:ind w:firstLine="482" w:firstLineChars="200"/>
        <w:contextualSpacing/>
        <w:rPr>
          <w:rFonts w:hint="eastAsia" w:ascii="宋体" w:hAnsi="宋体"/>
          <w:b/>
          <w:bCs/>
          <w:sz w:val="24"/>
          <w:highlight w:val="none"/>
        </w:rPr>
      </w:pPr>
      <w:r>
        <w:rPr>
          <w:rFonts w:hint="eastAsia" w:ascii="宋体" w:hAnsi="宋体" w:eastAsia="宋体"/>
          <w:b/>
          <w:bCs/>
          <w:sz w:val="24"/>
          <w:highlight w:val="none"/>
          <w:lang w:eastAsia="zh-CN"/>
        </w:rPr>
        <w:t>（</w:t>
      </w:r>
      <w:r>
        <w:rPr>
          <w:rFonts w:hint="eastAsia" w:ascii="宋体" w:hAnsi="宋体" w:eastAsia="宋体"/>
          <w:b/>
          <w:bCs/>
          <w:sz w:val="24"/>
          <w:highlight w:val="none"/>
          <w:lang w:val="en-US" w:eastAsia="zh-CN"/>
        </w:rPr>
        <w:t>十四</w:t>
      </w:r>
      <w:r>
        <w:rPr>
          <w:rFonts w:hint="eastAsia" w:ascii="宋体" w:hAnsi="宋体" w:eastAsia="宋体"/>
          <w:b/>
          <w:bCs/>
          <w:sz w:val="24"/>
          <w:highlight w:val="none"/>
          <w:lang w:eastAsia="zh-CN"/>
        </w:rPr>
        <w:t>）</w:t>
      </w: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spacing w:line="360" w:lineRule="auto"/>
        <w:ind w:firstLine="482" w:firstLineChars="200"/>
        <w:contextualSpacing/>
        <w:rPr>
          <w:rFonts w:ascii="宋体" w:hAnsi="宋体"/>
          <w:b/>
          <w:bCs/>
          <w:sz w:val="24"/>
          <w:highlight w:val="none"/>
        </w:rPr>
      </w:pPr>
    </w:p>
    <w:p>
      <w:pPr>
        <w:widowControl/>
        <w:spacing w:line="360" w:lineRule="auto"/>
        <w:outlineLvl w:val="2"/>
        <w:rPr>
          <w:rFonts w:hint="eastAsia"/>
          <w:b/>
          <w:bCs/>
          <w:sz w:val="24"/>
          <w:highlight w:val="none"/>
        </w:rPr>
      </w:pPr>
      <w:r>
        <w:rPr>
          <w:rFonts w:hint="eastAsia"/>
          <w:b/>
          <w:bCs/>
          <w:sz w:val="24"/>
          <w:highlight w:val="none"/>
        </w:rPr>
        <w:t xml:space="preserve">    第三条 </w:t>
      </w:r>
      <w:r>
        <w:rPr>
          <w:rFonts w:hint="eastAsia"/>
          <w:b/>
          <w:bCs/>
          <w:sz w:val="24"/>
          <w:highlight w:val="none"/>
          <w:lang w:eastAsia="zh-CN"/>
        </w:rPr>
        <w:t>销售机构</w:t>
      </w:r>
      <w:r>
        <w:rPr>
          <w:rFonts w:hint="eastAsia"/>
          <w:b/>
          <w:bCs/>
          <w:sz w:val="24"/>
          <w:highlight w:val="none"/>
        </w:rPr>
        <w:t>的权利与义务</w:t>
      </w:r>
    </w:p>
    <w:p>
      <w:pPr>
        <w:widowControl/>
        <w:numPr>
          <w:ilvl w:val="0"/>
          <w:numId w:val="75"/>
        </w:numPr>
        <w:spacing w:line="360" w:lineRule="auto"/>
        <w:contextualSpacing/>
        <w:jc w:val="left"/>
        <w:rPr>
          <w:rFonts w:hint="eastAsia" w:ascii="宋体" w:hAnsi="宋体"/>
          <w:sz w:val="24"/>
          <w:highlight w:val="none"/>
        </w:rPr>
      </w:pPr>
      <w:r>
        <w:rPr>
          <w:rFonts w:hint="eastAsia" w:ascii="宋体" w:hAnsi="宋体"/>
          <w:sz w:val="24"/>
          <w:highlight w:val="none"/>
          <w:lang w:eastAsia="zh-CN"/>
        </w:rPr>
        <w:t>销售机构</w:t>
      </w:r>
      <w:r>
        <w:rPr>
          <w:rFonts w:hint="eastAsia" w:ascii="宋体" w:hAnsi="宋体"/>
          <w:sz w:val="24"/>
          <w:highlight w:val="none"/>
        </w:rPr>
        <w:t>应对拟销售的理财计划开展尽职调查，承担审批职责，并纳入本机构统一专门名单管理，不得仅以管理人相关产品资料或其出具意见作为审批依据。</w:t>
      </w:r>
      <w:r>
        <w:rPr>
          <w:rFonts w:hint="eastAsia" w:ascii="宋体" w:hAnsi="宋体"/>
          <w:sz w:val="24"/>
          <w:highlight w:val="none"/>
          <w:lang w:eastAsia="zh-CN"/>
        </w:rPr>
        <w:t>销售机构</w:t>
      </w:r>
      <w:r>
        <w:rPr>
          <w:rFonts w:hint="eastAsia" w:ascii="宋体" w:hAnsi="宋体"/>
          <w:sz w:val="24"/>
          <w:highlight w:val="none"/>
        </w:rPr>
        <w:t>应当根据本机构的方式和方法，独立、审慎地对代理销售的理财计划进行销售评级。销售评级与管理人产品评级结果不一致的，</w:t>
      </w:r>
      <w:r>
        <w:rPr>
          <w:rFonts w:hint="eastAsia" w:ascii="宋体" w:hAnsi="宋体"/>
          <w:sz w:val="24"/>
          <w:highlight w:val="none"/>
          <w:lang w:eastAsia="zh-CN"/>
        </w:rPr>
        <w:t>销售机构</w:t>
      </w:r>
      <w:r>
        <w:rPr>
          <w:rFonts w:hint="eastAsia" w:ascii="宋体" w:hAnsi="宋体"/>
          <w:sz w:val="24"/>
          <w:highlight w:val="none"/>
        </w:rPr>
        <w:t>应当采用对应较高风险等级的评级结果并予以披露。</w:t>
      </w:r>
    </w:p>
    <w:p>
      <w:pPr>
        <w:widowControl/>
        <w:numPr>
          <w:ilvl w:val="0"/>
          <w:numId w:val="75"/>
        </w:numPr>
        <w:spacing w:line="360" w:lineRule="auto"/>
        <w:contextualSpacing/>
        <w:jc w:val="left"/>
        <w:rPr>
          <w:rFonts w:hint="eastAsia" w:ascii="宋体" w:hAnsi="宋体"/>
          <w:sz w:val="24"/>
          <w:highlight w:val="none"/>
        </w:rPr>
      </w:pPr>
      <w:r>
        <w:rPr>
          <w:rFonts w:hint="eastAsia" w:ascii="宋体" w:hAnsi="宋体"/>
          <w:b/>
          <w:bCs/>
          <w:sz w:val="24"/>
          <w:highlight w:val="none"/>
        </w:rPr>
        <w:t>代理销售机构非本计划的发行、管理机构，对本计划的业绩不承担任何保证和其他经济责任，不承担本计划的投资、兑付和风险管理责任</w:t>
      </w:r>
      <w:r>
        <w:rPr>
          <w:rFonts w:hint="eastAsia" w:ascii="宋体" w:hAnsi="宋体"/>
          <w:sz w:val="24"/>
          <w:highlight w:val="none"/>
        </w:rPr>
        <w:t>。</w:t>
      </w:r>
    </w:p>
    <w:p>
      <w:pPr>
        <w:widowControl/>
        <w:numPr>
          <w:ilvl w:val="0"/>
          <w:numId w:val="75"/>
        </w:numPr>
        <w:spacing w:line="360" w:lineRule="auto"/>
        <w:contextualSpacing/>
        <w:rPr>
          <w:rFonts w:hint="eastAsia" w:ascii="宋体" w:hAnsi="宋体"/>
          <w:sz w:val="24"/>
          <w:highlight w:val="none"/>
        </w:rPr>
      </w:pPr>
      <w:r>
        <w:rPr>
          <w:rFonts w:hint="eastAsia" w:ascii="宋体" w:hAnsi="宋体"/>
          <w:sz w:val="24"/>
          <w:highlight w:val="none"/>
          <w:lang w:eastAsia="zh-CN"/>
        </w:rPr>
        <w:t>销售机构</w:t>
      </w:r>
      <w:r>
        <w:rPr>
          <w:rFonts w:hint="eastAsia" w:ascii="宋体" w:hAnsi="宋体"/>
          <w:sz w:val="24"/>
          <w:highlight w:val="none"/>
        </w:rPr>
        <w:t>应定期对购买其代理销售的理财计划的非机构投资者进行有效风险承受能力评估，并保证向投资者推介及销售与其风险承受能力匹配的产品。</w:t>
      </w:r>
    </w:p>
    <w:p>
      <w:pPr>
        <w:widowControl/>
        <w:numPr>
          <w:ilvl w:val="0"/>
          <w:numId w:val="75"/>
        </w:numPr>
        <w:spacing w:line="360" w:lineRule="auto"/>
        <w:contextualSpacing/>
        <w:jc w:val="left"/>
        <w:rPr>
          <w:rFonts w:hint="eastAsia" w:ascii="宋体" w:hAnsi="宋体"/>
          <w:sz w:val="24"/>
          <w:highlight w:val="none"/>
        </w:rPr>
      </w:pPr>
      <w:r>
        <w:rPr>
          <w:rFonts w:hint="eastAsia" w:ascii="宋体" w:hAnsi="宋体"/>
          <w:sz w:val="24"/>
          <w:highlight w:val="none"/>
        </w:rPr>
        <w:t>对于通过营业网点向非机构投资者销售理财计划的，</w:t>
      </w:r>
      <w:r>
        <w:rPr>
          <w:rFonts w:hint="eastAsia" w:ascii="宋体" w:hAnsi="宋体"/>
          <w:sz w:val="24"/>
          <w:highlight w:val="none"/>
          <w:lang w:eastAsia="zh-CN"/>
        </w:rPr>
        <w:t>销售机构</w:t>
      </w:r>
      <w:r>
        <w:rPr>
          <w:rFonts w:hint="eastAsia" w:ascii="宋体" w:hAnsi="宋体"/>
          <w:sz w:val="24"/>
          <w:highlight w:val="none"/>
        </w:rPr>
        <w:t>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widowControl/>
        <w:numPr>
          <w:ilvl w:val="0"/>
          <w:numId w:val="75"/>
        </w:numPr>
        <w:spacing w:line="360" w:lineRule="auto"/>
        <w:contextualSpacing/>
        <w:rPr>
          <w:rFonts w:hint="eastAsia" w:ascii="宋体" w:hAnsi="宋体"/>
          <w:sz w:val="24"/>
          <w:highlight w:val="none"/>
        </w:rPr>
      </w:pPr>
      <w:r>
        <w:rPr>
          <w:rFonts w:hint="eastAsia" w:ascii="宋体" w:hAnsi="宋体"/>
          <w:sz w:val="24"/>
          <w:highlight w:val="none"/>
          <w:lang w:eastAsia="zh-CN"/>
        </w:rPr>
        <w:t>销售机构</w:t>
      </w:r>
      <w:r>
        <w:rPr>
          <w:rFonts w:hint="eastAsia" w:ascii="宋体" w:hAnsi="宋体"/>
          <w:sz w:val="24"/>
          <w:highlight w:val="none"/>
        </w:rPr>
        <w:t>不得擅自使用未经管理人授权或审核同意的理财计划宣传推介材料，在全国银行业理财信息登记系统对理财计划进行登记并获得登记编码前，不得发布理财计划宣传推介材料或办理理财计划销售业务。</w:t>
      </w:r>
    </w:p>
    <w:p>
      <w:pPr>
        <w:widowControl/>
        <w:numPr>
          <w:ilvl w:val="0"/>
          <w:numId w:val="75"/>
        </w:numPr>
        <w:spacing w:line="360" w:lineRule="auto"/>
        <w:contextualSpacing/>
        <w:jc w:val="left"/>
        <w:rPr>
          <w:rFonts w:hint="eastAsia" w:ascii="宋体" w:hAnsi="宋体"/>
          <w:sz w:val="24"/>
          <w:highlight w:val="none"/>
        </w:rPr>
      </w:pPr>
      <w:r>
        <w:rPr>
          <w:rFonts w:hint="eastAsia" w:ascii="宋体" w:hAnsi="宋体"/>
          <w:sz w:val="24"/>
          <w:highlight w:val="none"/>
          <w:lang w:eastAsia="zh-CN"/>
        </w:rPr>
        <w:t>销售机构</w:t>
      </w:r>
      <w:r>
        <w:rPr>
          <w:rFonts w:hint="eastAsia" w:ascii="宋体" w:hAnsi="宋体"/>
          <w:sz w:val="24"/>
          <w:highlight w:val="none"/>
        </w:rPr>
        <w:t>应建立健全上岗资格、持续培训、信息公示与查询核实等制度并有效执行。未经</w:t>
      </w:r>
      <w:r>
        <w:rPr>
          <w:rFonts w:hint="eastAsia" w:ascii="宋体" w:hAnsi="宋体"/>
          <w:sz w:val="24"/>
          <w:highlight w:val="none"/>
          <w:lang w:eastAsia="zh-CN"/>
        </w:rPr>
        <w:t>销售机构</w:t>
      </w:r>
      <w:r>
        <w:rPr>
          <w:rFonts w:hint="eastAsia" w:ascii="宋体" w:hAnsi="宋体"/>
          <w:sz w:val="24"/>
          <w:highlight w:val="none"/>
        </w:rPr>
        <w:t>进行上岗资格认定并签订劳动合同，任何人员不得从事理财计划销售业务活动。</w:t>
      </w:r>
    </w:p>
    <w:p>
      <w:pPr>
        <w:widowControl/>
        <w:numPr>
          <w:ilvl w:val="0"/>
          <w:numId w:val="75"/>
        </w:numPr>
        <w:spacing w:line="360" w:lineRule="auto"/>
        <w:contextualSpacing/>
        <w:jc w:val="left"/>
        <w:rPr>
          <w:rFonts w:hint="eastAsia" w:ascii="宋体" w:hAnsi="宋体"/>
          <w:sz w:val="24"/>
          <w:highlight w:val="none"/>
        </w:rPr>
      </w:pPr>
      <w:r>
        <w:rPr>
          <w:rFonts w:hint="eastAsia" w:ascii="宋体" w:hAnsi="宋体"/>
          <w:sz w:val="24"/>
          <w:highlight w:val="none"/>
          <w:lang w:eastAsia="zh-CN"/>
        </w:rPr>
        <w:t>销售机构</w:t>
      </w:r>
      <w:r>
        <w:rPr>
          <w:rFonts w:hint="eastAsia" w:ascii="宋体" w:hAnsi="宋体"/>
          <w:sz w:val="24"/>
          <w:highlight w:val="none"/>
        </w:rPr>
        <w:t>应对所有销售人员信息进行登记和公示。销售人员在向投资者宣传销售理财计划前进行自我介绍并告知信息查询和核实渠道，便于投资者查询核实，防止伪冒身份和虚假宣传。</w:t>
      </w:r>
    </w:p>
    <w:p>
      <w:pPr>
        <w:widowControl/>
        <w:numPr>
          <w:ilvl w:val="0"/>
          <w:numId w:val="75"/>
        </w:numPr>
        <w:spacing w:line="360" w:lineRule="auto"/>
        <w:contextualSpacing/>
        <w:jc w:val="left"/>
        <w:rPr>
          <w:rFonts w:hint="eastAsia" w:ascii="宋体" w:hAnsi="宋体"/>
          <w:sz w:val="24"/>
          <w:highlight w:val="none"/>
        </w:rPr>
      </w:pPr>
      <w:r>
        <w:rPr>
          <w:rFonts w:hint="eastAsia" w:ascii="宋体" w:hAnsi="宋体"/>
          <w:sz w:val="24"/>
          <w:highlight w:val="none"/>
          <w:lang w:eastAsia="zh-CN"/>
        </w:rPr>
        <w:t>销售机构</w:t>
      </w:r>
      <w:r>
        <w:rPr>
          <w:rFonts w:hint="eastAsia" w:ascii="宋体" w:hAnsi="宋体"/>
          <w:sz w:val="24"/>
          <w:highlight w:val="none"/>
        </w:rPr>
        <w:t>对投资者负有信息保密义务，未经投资者书面许可，乙方不得向任何组织、个人提供或泄露与甲方有关的业务资料及信息，但法律、法规另有规定的除外。</w:t>
      </w:r>
    </w:p>
    <w:p>
      <w:pPr>
        <w:widowControl/>
        <w:numPr>
          <w:ilvl w:val="0"/>
          <w:numId w:val="75"/>
        </w:numPr>
        <w:spacing w:line="360" w:lineRule="auto"/>
        <w:contextualSpacing/>
        <w:jc w:val="left"/>
        <w:rPr>
          <w:rFonts w:hint="eastAsia" w:ascii="宋体" w:hAnsi="宋体"/>
          <w:sz w:val="24"/>
          <w:highlight w:val="none"/>
        </w:rPr>
      </w:pPr>
      <w:r>
        <w:rPr>
          <w:rFonts w:hint="eastAsia" w:ascii="宋体" w:hAnsi="宋体"/>
          <w:sz w:val="24"/>
          <w:highlight w:val="none"/>
          <w:lang w:eastAsia="zh-CN"/>
        </w:rPr>
        <w:t>销售机构</w:t>
      </w:r>
      <w:r>
        <w:rPr>
          <w:rFonts w:hint="eastAsia" w:ascii="宋体" w:hAnsi="宋体"/>
          <w:sz w:val="24"/>
          <w:highlight w:val="none"/>
        </w:rPr>
        <w:t>应按照法律法规、监管规定、理财计划合同的约定收取销售费用，并如实核算、记账。未经载明，不得对不同投资者适用不同费率。</w:t>
      </w:r>
    </w:p>
    <w:p>
      <w:pPr>
        <w:widowControl/>
        <w:numPr>
          <w:ilvl w:val="0"/>
          <w:numId w:val="69"/>
        </w:numPr>
        <w:spacing w:line="360" w:lineRule="auto"/>
        <w:contextualSpacing/>
        <w:jc w:val="left"/>
        <w:rPr>
          <w:rFonts w:hint="eastAsia" w:ascii="宋体" w:hAnsi="宋体"/>
          <w:sz w:val="24"/>
          <w:highlight w:val="none"/>
        </w:rPr>
      </w:pPr>
      <w:r>
        <w:rPr>
          <w:rFonts w:hint="eastAsia" w:ascii="宋体" w:hAnsi="宋体"/>
          <w:sz w:val="24"/>
          <w:highlight w:val="none"/>
        </w:rPr>
        <w:t>理财计划销售结算资金属于理财计划投资者，</w:t>
      </w:r>
      <w:r>
        <w:rPr>
          <w:rFonts w:hint="eastAsia" w:ascii="宋体" w:hAnsi="宋体"/>
          <w:sz w:val="24"/>
          <w:highlight w:val="none"/>
          <w:lang w:eastAsia="zh-CN"/>
        </w:rPr>
        <w:t>销售机构</w:t>
      </w:r>
      <w:r>
        <w:rPr>
          <w:rFonts w:hint="eastAsia" w:ascii="宋体" w:hAnsi="宋体"/>
          <w:sz w:val="24"/>
          <w:highlight w:val="none"/>
        </w:rPr>
        <w:t>不得挪用理财计划销售结算资金或将理财计划销售结算资金归入自有资产。</w:t>
      </w:r>
    </w:p>
    <w:p>
      <w:pPr>
        <w:widowControl/>
        <w:numPr>
          <w:ilvl w:val="0"/>
          <w:numId w:val="69"/>
        </w:numPr>
        <w:spacing w:line="360" w:lineRule="auto"/>
        <w:contextualSpacing/>
        <w:jc w:val="left"/>
        <w:rPr>
          <w:rFonts w:hint="eastAsia" w:ascii="宋体" w:hAnsi="宋体"/>
          <w:sz w:val="24"/>
          <w:highlight w:val="none"/>
        </w:rPr>
      </w:pPr>
      <w:r>
        <w:rPr>
          <w:rFonts w:hint="eastAsia" w:ascii="宋体" w:hAnsi="宋体"/>
          <w:sz w:val="24"/>
          <w:highlight w:val="none"/>
          <w:lang w:eastAsia="zh-CN"/>
        </w:rPr>
        <w:t>销售机构</w:t>
      </w:r>
      <w:r>
        <w:rPr>
          <w:rFonts w:hint="eastAsia" w:ascii="宋体" w:hAnsi="宋体"/>
          <w:sz w:val="24"/>
          <w:highlight w:val="none"/>
        </w:rPr>
        <w:t>应遵守相关法律、法规、监管规定及理财计划合同约定，诚实守信、勤勉尽责，向购买理财计划的投资者充分传递管理人披露的产品相关信息并进行充分的风险揭示。</w:t>
      </w:r>
    </w:p>
    <w:p>
      <w:pPr>
        <w:widowControl/>
        <w:numPr>
          <w:ilvl w:val="0"/>
          <w:numId w:val="69"/>
        </w:numPr>
        <w:spacing w:line="360" w:lineRule="auto"/>
        <w:contextualSpacing/>
        <w:jc w:val="left"/>
        <w:rPr>
          <w:rFonts w:hint="eastAsia" w:ascii="宋体" w:hAnsi="宋体"/>
          <w:sz w:val="24"/>
          <w:highlight w:val="none"/>
        </w:rPr>
      </w:pPr>
      <w:r>
        <w:rPr>
          <w:rFonts w:hint="eastAsia" w:ascii="宋体" w:hAnsi="宋体"/>
          <w:sz w:val="24"/>
          <w:highlight w:val="none"/>
          <w:lang w:eastAsia="zh-CN"/>
        </w:rPr>
        <w:t>销售机构</w:t>
      </w:r>
      <w:r>
        <w:rPr>
          <w:rFonts w:hint="eastAsia" w:ascii="宋体" w:hAnsi="宋体"/>
          <w:sz w:val="24"/>
          <w:highlight w:val="none"/>
        </w:rPr>
        <w:t>应当充分利用科技手段，加强对伪冒网站、伪冒产品等监测，有效防范各类欺诈风险。</w:t>
      </w:r>
    </w:p>
    <w:p>
      <w:pPr>
        <w:widowControl/>
        <w:spacing w:line="360" w:lineRule="auto"/>
        <w:ind w:left="482"/>
        <w:contextualSpacing/>
        <w:jc w:val="left"/>
        <w:rPr>
          <w:rFonts w:hint="eastAsia" w:ascii="宋体" w:hAnsi="宋体"/>
          <w:b/>
          <w:bCs/>
          <w:sz w:val="24"/>
          <w:highlight w:val="none"/>
        </w:rPr>
      </w:pPr>
    </w:p>
    <w:p>
      <w:pPr>
        <w:widowControl/>
        <w:spacing w:line="360" w:lineRule="auto"/>
        <w:outlineLvl w:val="2"/>
        <w:rPr>
          <w:rFonts w:hint="eastAsia"/>
          <w:b/>
          <w:bCs/>
          <w:sz w:val="24"/>
          <w:highlight w:val="none"/>
        </w:rPr>
      </w:pPr>
      <w:r>
        <w:rPr>
          <w:rFonts w:hint="eastAsia"/>
          <w:b/>
          <w:bCs/>
          <w:sz w:val="24"/>
          <w:highlight w:val="none"/>
        </w:rPr>
        <w:t xml:space="preserve">    第四条 理财计划认（申）购、赎回及终止</w:t>
      </w:r>
    </w:p>
    <w:p>
      <w:pPr>
        <w:widowControl/>
        <w:numPr>
          <w:ilvl w:val="0"/>
          <w:numId w:val="76"/>
        </w:numPr>
        <w:spacing w:line="360" w:lineRule="auto"/>
        <w:contextualSpacing/>
        <w:rPr>
          <w:rFonts w:hint="eastAsia"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76"/>
        </w:numPr>
        <w:spacing w:line="360" w:lineRule="auto"/>
        <w:contextualSpacing/>
        <w:rPr>
          <w:rFonts w:hint="eastAsia" w:ascii="宋体" w:hAnsi="宋体"/>
          <w:sz w:val="24"/>
          <w:highlight w:val="none"/>
        </w:rPr>
      </w:pPr>
      <w:r>
        <w:rPr>
          <w:rFonts w:hint="eastAsia" w:ascii="宋体" w:hAnsi="宋体"/>
          <w:sz w:val="24"/>
          <w:highlight w:val="none"/>
        </w:rPr>
        <w:t>理财计划认/申购确认：管理人根据销售渠道提供的交易信息及资金划付对投资者相应认/申购进行确认。</w:t>
      </w:r>
    </w:p>
    <w:p>
      <w:pPr>
        <w:widowControl/>
        <w:numPr>
          <w:ilvl w:val="0"/>
          <w:numId w:val="76"/>
        </w:numPr>
        <w:spacing w:line="360" w:lineRule="auto"/>
        <w:contextualSpacing/>
        <w:rPr>
          <w:rFonts w:hint="eastAsia" w:ascii="宋体" w:hAnsi="宋体"/>
          <w:sz w:val="24"/>
          <w:highlight w:val="none"/>
        </w:rPr>
      </w:pPr>
      <w:r>
        <w:rPr>
          <w:rFonts w:hint="eastAsia" w:ascii="宋体" w:hAnsi="宋体"/>
          <w:sz w:val="24"/>
          <w:highlight w:val="none"/>
        </w:rPr>
        <w:t>理财计划不成立：若在募集期结束日，本理财计划发行规模未能达到对应期次的理财计划产品说明书规定的要求，则本理财计划不成立，</w:t>
      </w:r>
      <w:r>
        <w:rPr>
          <w:rFonts w:hint="eastAsia" w:ascii="宋体" w:hAnsi="宋体"/>
          <w:sz w:val="24"/>
          <w:highlight w:val="none"/>
          <w:lang w:eastAsia="zh-CN"/>
        </w:rPr>
        <w:t>销售机构</w:t>
      </w:r>
      <w:r>
        <w:rPr>
          <w:rFonts w:hint="eastAsia" w:ascii="宋体" w:hAnsi="宋体"/>
          <w:sz w:val="24"/>
          <w:highlight w:val="none"/>
        </w:rPr>
        <w:t xml:space="preserve">将按对应期次的理财计划产品说明书约定条款向投资者进行公告，并将及时解除对投资者授权指定账户中认购资金的冻结。 </w:t>
      </w:r>
    </w:p>
    <w:p>
      <w:pPr>
        <w:widowControl/>
        <w:numPr>
          <w:ilvl w:val="0"/>
          <w:numId w:val="76"/>
        </w:numPr>
        <w:spacing w:line="360" w:lineRule="auto"/>
        <w:contextualSpacing/>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76"/>
        </w:numPr>
        <w:spacing w:line="360" w:lineRule="auto"/>
        <w:contextualSpacing/>
        <w:rPr>
          <w:rFonts w:hint="eastAsia" w:ascii="宋体" w:hAnsi="宋体"/>
          <w:sz w:val="24"/>
          <w:highlight w:val="none"/>
        </w:rPr>
      </w:pPr>
      <w:r>
        <w:rPr>
          <w:rFonts w:hint="eastAsia" w:ascii="宋体" w:hAnsi="宋体"/>
          <w:sz w:val="24"/>
          <w:highlight w:val="none"/>
        </w:rPr>
        <w:t>理财计划赎回/终止兑付：在正常情况下，管理人和</w:t>
      </w:r>
      <w:r>
        <w:rPr>
          <w:rFonts w:hint="eastAsia" w:ascii="宋体" w:hAnsi="宋体"/>
          <w:sz w:val="24"/>
          <w:highlight w:val="none"/>
          <w:lang w:eastAsia="zh-CN"/>
        </w:rPr>
        <w:t>销售机构</w:t>
      </w:r>
      <w:r>
        <w:rPr>
          <w:rFonts w:hint="eastAsia" w:ascii="宋体" w:hAnsi="宋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理财计划产品说明书约定管理人对理财计划进行延期或转换时，</w:t>
      </w:r>
      <w:r>
        <w:rPr>
          <w:rFonts w:hint="eastAsia" w:ascii="宋体" w:hAnsi="宋体"/>
          <w:sz w:val="24"/>
          <w:highlight w:val="none"/>
          <w:lang w:eastAsia="zh-CN"/>
        </w:rPr>
        <w:t>销售机构</w:t>
      </w:r>
      <w:r>
        <w:rPr>
          <w:rFonts w:hint="eastAsia" w:ascii="宋体" w:hAnsi="宋体"/>
          <w:sz w:val="24"/>
          <w:highlight w:val="none"/>
        </w:rPr>
        <w:t>将于原约定清算日前通过信息披露途径及时通知，并根据实际情况进行后续处理。</w:t>
      </w:r>
    </w:p>
    <w:p>
      <w:pPr>
        <w:widowControl/>
        <w:numPr>
          <w:ilvl w:val="0"/>
          <w:numId w:val="76"/>
        </w:numPr>
        <w:spacing w:line="360" w:lineRule="auto"/>
        <w:contextualSpacing/>
        <w:rPr>
          <w:rFonts w:hint="eastAsia" w:ascii="宋体" w:hAnsi="宋体"/>
          <w:sz w:val="24"/>
          <w:highlight w:val="none"/>
        </w:rPr>
      </w:pPr>
      <w:r>
        <w:rPr>
          <w:rFonts w:hint="eastAsia" w:ascii="宋体" w:hAnsi="宋体"/>
          <w:sz w:val="24"/>
          <w:highlight w:val="none"/>
        </w:rPr>
        <w:t>资金清算：理财计划终止或份额赎回时，管理人按理财计划合同约定划付至</w:t>
      </w:r>
      <w:r>
        <w:rPr>
          <w:rFonts w:hint="eastAsia" w:ascii="宋体" w:hAnsi="宋体"/>
          <w:sz w:val="24"/>
          <w:highlight w:val="none"/>
          <w:lang w:eastAsia="zh-CN"/>
        </w:rPr>
        <w:t>销售机构</w:t>
      </w:r>
      <w:r>
        <w:rPr>
          <w:rFonts w:hint="eastAsia" w:ascii="宋体" w:hAnsi="宋体"/>
          <w:sz w:val="24"/>
          <w:highlight w:val="none"/>
        </w:rPr>
        <w:t>清算账户后，由</w:t>
      </w:r>
      <w:r>
        <w:rPr>
          <w:rFonts w:hint="eastAsia" w:ascii="宋体" w:hAnsi="宋体"/>
          <w:sz w:val="24"/>
          <w:highlight w:val="none"/>
          <w:lang w:eastAsia="zh-CN"/>
        </w:rPr>
        <w:t>销售机构</w:t>
      </w:r>
      <w:r>
        <w:rPr>
          <w:rFonts w:hint="eastAsia" w:ascii="宋体" w:hAnsi="宋体"/>
          <w:sz w:val="24"/>
          <w:highlight w:val="none"/>
        </w:rPr>
        <w:t>向投资者划付投资者应得资金。如因投资者清算账户余额不足，或</w:t>
      </w:r>
      <w:r>
        <w:rPr>
          <w:rFonts w:hint="eastAsia" w:ascii="宋体" w:hAnsi="宋体"/>
          <w:sz w:val="24"/>
          <w:highlight w:val="none"/>
          <w:lang w:eastAsia="zh-CN"/>
        </w:rPr>
        <w:t>销售机构</w:t>
      </w:r>
      <w:r>
        <w:rPr>
          <w:rFonts w:hint="eastAsia" w:ascii="宋体" w:hAnsi="宋体"/>
          <w:sz w:val="24"/>
          <w:highlight w:val="none"/>
        </w:rPr>
        <w:t>未及时足额划付资金，或</w:t>
      </w:r>
      <w:r>
        <w:rPr>
          <w:rFonts w:hint="eastAsia" w:ascii="宋体" w:hAnsi="宋体"/>
          <w:sz w:val="24"/>
          <w:highlight w:val="none"/>
          <w:lang w:eastAsia="zh-CN"/>
        </w:rPr>
        <w:t>销售机构</w:t>
      </w:r>
      <w:r>
        <w:rPr>
          <w:rFonts w:hint="eastAsia" w:ascii="宋体" w:hAnsi="宋体"/>
          <w:sz w:val="24"/>
          <w:highlight w:val="none"/>
        </w:rPr>
        <w:t>清算账户内资金被依法冻结或扣划，或</w:t>
      </w:r>
      <w:r>
        <w:rPr>
          <w:rFonts w:hint="eastAsia" w:ascii="宋体" w:hAnsi="宋体"/>
          <w:sz w:val="24"/>
          <w:highlight w:val="none"/>
          <w:lang w:eastAsia="zh-CN"/>
        </w:rPr>
        <w:t>销售机构</w:t>
      </w:r>
      <w:r>
        <w:rPr>
          <w:rFonts w:hint="eastAsia" w:ascii="宋体" w:hAnsi="宋体"/>
          <w:sz w:val="24"/>
          <w:highlight w:val="none"/>
        </w:rPr>
        <w:t>清算账户处于被挂失、冻结、注销或其他非正常状态等原因而导致交易失败，对于因上述原因导致的交易失败可能带来的任何损失及预期损失，投资者须自行承担或向</w:t>
      </w:r>
      <w:r>
        <w:rPr>
          <w:rFonts w:hint="eastAsia" w:ascii="宋体" w:hAnsi="宋体"/>
          <w:sz w:val="24"/>
          <w:highlight w:val="none"/>
          <w:lang w:eastAsia="zh-CN"/>
        </w:rPr>
        <w:t>销售机构</w:t>
      </w:r>
      <w:r>
        <w:rPr>
          <w:rFonts w:hint="eastAsia" w:ascii="宋体" w:hAnsi="宋体"/>
          <w:sz w:val="24"/>
          <w:highlight w:val="none"/>
        </w:rPr>
        <w:t>依法主张。</w:t>
      </w:r>
    </w:p>
    <w:p>
      <w:pPr>
        <w:widowControl/>
        <w:spacing w:line="360" w:lineRule="auto"/>
        <w:ind w:left="178" w:leftChars="85"/>
        <w:contextualSpacing/>
        <w:rPr>
          <w:rFonts w:hint="eastAsia" w:ascii="宋体" w:hAnsi="宋体"/>
          <w:b/>
          <w:bCs/>
          <w:sz w:val="24"/>
          <w:highlight w:val="none"/>
        </w:rPr>
      </w:pPr>
    </w:p>
    <w:p>
      <w:pPr>
        <w:widowControl/>
        <w:spacing w:line="360" w:lineRule="auto"/>
        <w:outlineLvl w:val="2"/>
        <w:rPr>
          <w:rFonts w:hint="eastAsia"/>
          <w:b/>
          <w:bCs/>
          <w:sz w:val="24"/>
          <w:highlight w:val="none"/>
        </w:rPr>
      </w:pPr>
      <w:r>
        <w:rPr>
          <w:rFonts w:hint="eastAsia"/>
          <w:b/>
          <w:bCs/>
          <w:sz w:val="24"/>
          <w:highlight w:val="none"/>
        </w:rPr>
        <w:t xml:space="preserve">    第五条 违约责任及免责条款</w:t>
      </w:r>
    </w:p>
    <w:p>
      <w:pPr>
        <w:widowControl/>
        <w:numPr>
          <w:ilvl w:val="0"/>
          <w:numId w:val="77"/>
        </w:numPr>
        <w:spacing w:line="360" w:lineRule="auto"/>
        <w:contextualSpacing/>
        <w:rPr>
          <w:rFonts w:hint="eastAsia" w:ascii="宋体" w:hAnsi="宋体"/>
          <w:sz w:val="24"/>
          <w:highlight w:val="none"/>
        </w:rPr>
      </w:pPr>
      <w:r>
        <w:rPr>
          <w:rFonts w:hint="eastAsia" w:ascii="宋体" w:hAnsi="宋体"/>
          <w:sz w:val="24"/>
          <w:highlight w:val="none"/>
        </w:rPr>
        <w:t>若因投资者原因导致司法或行政等有权机关采取强制措施对其理财本金、收益进行部分或全部被扣划，均视投资者本人就全部理财本金进行了提前</w:t>
      </w:r>
      <w:r>
        <w:rPr>
          <w:rFonts w:hint="eastAsia" w:ascii="宋体" w:hAnsi="宋体"/>
          <w:sz w:val="24"/>
          <w:highlight w:val="none"/>
          <w:lang w:val="en-US" w:eastAsia="zh-CN"/>
        </w:rPr>
        <w:t>赎回</w:t>
      </w:r>
      <w:r>
        <w:rPr>
          <w:rFonts w:hint="eastAsia" w:ascii="宋体" w:hAnsi="宋体"/>
          <w:sz w:val="24"/>
          <w:highlight w:val="none"/>
        </w:rPr>
        <w:t>，本协议自动终止。因提前终止而产生的损失及相关费用由投资者承担。本协议因前述情况终止的，理财本金不计付</w:t>
      </w:r>
      <w:r>
        <w:rPr>
          <w:rFonts w:hint="eastAsia" w:ascii="宋体" w:hAnsi="宋体"/>
          <w:sz w:val="24"/>
          <w:highlight w:val="none"/>
          <w:lang w:val="en-US" w:eastAsia="zh-CN"/>
        </w:rPr>
        <w:t>赎回</w:t>
      </w:r>
      <w:r>
        <w:rPr>
          <w:rFonts w:hint="eastAsia" w:ascii="宋体" w:hAnsi="宋体"/>
          <w:sz w:val="24"/>
          <w:highlight w:val="none"/>
        </w:rPr>
        <w:t>日前的理财收益，也不计付存款利息。</w:t>
      </w:r>
    </w:p>
    <w:p>
      <w:pPr>
        <w:widowControl/>
        <w:numPr>
          <w:ilvl w:val="0"/>
          <w:numId w:val="77"/>
        </w:numPr>
        <w:spacing w:line="360" w:lineRule="auto"/>
        <w:contextualSpacing/>
        <w:rPr>
          <w:rFonts w:hint="eastAsia" w:ascii="宋体" w:hAnsi="宋体"/>
          <w:sz w:val="24"/>
          <w:highlight w:val="none"/>
        </w:rPr>
      </w:pPr>
      <w:r>
        <w:rPr>
          <w:rFonts w:hint="eastAsia" w:ascii="宋体" w:hAnsi="宋体"/>
          <w:sz w:val="24"/>
          <w:highlight w:val="none"/>
        </w:rPr>
        <w:t>投资者违反本协议第二条内容，应承担相应违约责任。</w:t>
      </w:r>
      <w:r>
        <w:rPr>
          <w:rFonts w:hint="eastAsia" w:ascii="宋体" w:hAnsi="宋体"/>
          <w:sz w:val="24"/>
          <w:highlight w:val="none"/>
          <w:lang w:eastAsia="zh-CN"/>
        </w:rPr>
        <w:t>销售机构</w:t>
      </w:r>
      <w:r>
        <w:rPr>
          <w:rFonts w:hint="eastAsia" w:ascii="宋体" w:hAnsi="宋体"/>
          <w:sz w:val="24"/>
          <w:highlight w:val="none"/>
        </w:rPr>
        <w:t>对由此导致的理财业务交易延误、中断、终止及投资者损失不承担任何责任，并有权单方终止双方理财业务关系。因投资者违反双方约定给</w:t>
      </w:r>
      <w:r>
        <w:rPr>
          <w:rFonts w:hint="eastAsia" w:ascii="宋体" w:hAnsi="宋体"/>
          <w:sz w:val="24"/>
          <w:highlight w:val="none"/>
          <w:lang w:eastAsia="zh-CN"/>
        </w:rPr>
        <w:t>销售机构</w:t>
      </w:r>
      <w:r>
        <w:rPr>
          <w:rFonts w:hint="eastAsia" w:ascii="宋体" w:hAnsi="宋体"/>
          <w:sz w:val="24"/>
          <w:highlight w:val="none"/>
        </w:rPr>
        <w:t>或全体投资者造成损失的，投资者应承担相应的赔偿责任。</w:t>
      </w:r>
    </w:p>
    <w:p>
      <w:pPr>
        <w:widowControl/>
        <w:numPr>
          <w:ilvl w:val="0"/>
          <w:numId w:val="77"/>
        </w:numPr>
        <w:spacing w:line="360" w:lineRule="auto"/>
        <w:contextualSpacing/>
        <w:rPr>
          <w:rFonts w:hint="eastAsia" w:ascii="宋体" w:hAnsi="宋体"/>
          <w:sz w:val="24"/>
          <w:highlight w:val="none"/>
        </w:rPr>
      </w:pPr>
      <w:r>
        <w:rPr>
          <w:rFonts w:hint="eastAsia" w:ascii="宋体" w:hAnsi="宋体"/>
          <w:sz w:val="24"/>
          <w:highlight w:val="none"/>
        </w:rPr>
        <w:t>若由于</w:t>
      </w:r>
      <w:r>
        <w:rPr>
          <w:rFonts w:hint="eastAsia" w:ascii="宋体" w:hAnsi="宋体"/>
          <w:sz w:val="24"/>
          <w:highlight w:val="none"/>
          <w:lang w:eastAsia="zh-CN"/>
        </w:rPr>
        <w:t>销售机构</w:t>
      </w:r>
      <w:r>
        <w:rPr>
          <w:rFonts w:hint="eastAsia" w:ascii="宋体" w:hAnsi="宋体"/>
          <w:sz w:val="24"/>
          <w:highlight w:val="none"/>
        </w:rPr>
        <w:t>过错导致理财计划资产发生损失，</w:t>
      </w:r>
      <w:r>
        <w:rPr>
          <w:rFonts w:hint="eastAsia" w:ascii="宋体" w:hAnsi="宋体"/>
          <w:sz w:val="24"/>
          <w:highlight w:val="none"/>
          <w:lang w:eastAsia="zh-CN"/>
        </w:rPr>
        <w:t>销售机构</w:t>
      </w:r>
      <w:r>
        <w:rPr>
          <w:rFonts w:hint="eastAsia" w:ascii="宋体" w:hAnsi="宋体"/>
          <w:sz w:val="24"/>
          <w:highlight w:val="none"/>
        </w:rPr>
        <w:t>应按其过错承担赔偿责任，</w:t>
      </w:r>
      <w:r>
        <w:rPr>
          <w:rFonts w:hint="eastAsia" w:ascii="宋体" w:hAnsi="宋体"/>
          <w:sz w:val="24"/>
          <w:highlight w:val="none"/>
          <w:lang w:eastAsia="zh-CN"/>
        </w:rPr>
        <w:t>销售机构</w:t>
      </w:r>
      <w:r>
        <w:rPr>
          <w:rFonts w:hint="eastAsia" w:ascii="宋体" w:hAnsi="宋体"/>
          <w:sz w:val="24"/>
          <w:highlight w:val="none"/>
        </w:rPr>
        <w:t>赔偿的款项计入理财计划的资产和收益。</w:t>
      </w:r>
    </w:p>
    <w:p>
      <w:pPr>
        <w:widowControl/>
        <w:numPr>
          <w:ilvl w:val="0"/>
          <w:numId w:val="77"/>
        </w:numPr>
        <w:spacing w:line="360" w:lineRule="auto"/>
        <w:contextualSpacing/>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w:t>
      </w:r>
      <w:r>
        <w:rPr>
          <w:rFonts w:hint="eastAsia" w:ascii="宋体" w:hAnsi="宋体" w:cs="黑体"/>
          <w:sz w:val="24"/>
          <w:highlight w:val="none"/>
          <w:lang w:eastAsia="zh-CN"/>
        </w:rPr>
        <w:t>销售机构</w:t>
      </w:r>
      <w:r>
        <w:rPr>
          <w:rFonts w:hint="eastAsia" w:ascii="宋体" w:hAnsi="宋体"/>
          <w:sz w:val="24"/>
          <w:highlight w:val="none"/>
        </w:rPr>
        <w:t>不承担责任；但</w:t>
      </w:r>
      <w:r>
        <w:rPr>
          <w:rFonts w:hint="eastAsia" w:ascii="宋体" w:hAnsi="宋体"/>
          <w:sz w:val="24"/>
          <w:highlight w:val="none"/>
          <w:lang w:eastAsia="zh-CN"/>
        </w:rPr>
        <w:t>销售机构</w:t>
      </w:r>
      <w:r>
        <w:rPr>
          <w:rFonts w:hint="eastAsia" w:ascii="宋体" w:hAnsi="宋体"/>
          <w:sz w:val="24"/>
          <w:highlight w:val="none"/>
        </w:rPr>
        <w:t>应在上述情况发生后在条件允许时及时通知投资者并采取一切必要且可能的措施阻止损失扩大。</w:t>
      </w:r>
    </w:p>
    <w:p>
      <w:pPr>
        <w:widowControl/>
        <w:numPr>
          <w:ilvl w:val="0"/>
          <w:numId w:val="77"/>
        </w:numPr>
        <w:spacing w:line="360" w:lineRule="auto"/>
        <w:contextualSpacing/>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w:t>
      </w:r>
      <w:r>
        <w:rPr>
          <w:rFonts w:hint="eastAsia" w:ascii="宋体" w:hAnsi="宋体"/>
          <w:sz w:val="24"/>
          <w:highlight w:val="none"/>
          <w:lang w:eastAsia="zh-CN"/>
        </w:rPr>
        <w:t>销售机构</w:t>
      </w:r>
      <w:r>
        <w:rPr>
          <w:rFonts w:hint="eastAsia" w:ascii="宋体" w:hAnsi="宋体"/>
          <w:sz w:val="24"/>
          <w:highlight w:val="none"/>
        </w:rPr>
        <w:t>不承担责任。</w:t>
      </w:r>
    </w:p>
    <w:p>
      <w:pPr>
        <w:widowControl/>
        <w:spacing w:line="360" w:lineRule="auto"/>
        <w:contextualSpacing/>
        <w:rPr>
          <w:rFonts w:hint="eastAsia" w:ascii="宋体" w:hAnsi="宋体"/>
          <w:b/>
          <w:bCs/>
          <w:sz w:val="24"/>
          <w:highlight w:val="none"/>
        </w:rPr>
      </w:pPr>
    </w:p>
    <w:p>
      <w:pPr>
        <w:widowControl/>
        <w:spacing w:line="360" w:lineRule="auto"/>
        <w:outlineLvl w:val="2"/>
        <w:rPr>
          <w:rFonts w:hint="eastAsia"/>
          <w:b/>
          <w:bCs/>
          <w:sz w:val="24"/>
          <w:highlight w:val="none"/>
        </w:rPr>
      </w:pPr>
      <w:r>
        <w:rPr>
          <w:rFonts w:hint="eastAsia"/>
          <w:b/>
          <w:bCs/>
          <w:sz w:val="24"/>
          <w:highlight w:val="none"/>
        </w:rPr>
        <w:t xml:space="preserve">    第六条 适用法律与争议解决</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本协议适用中华人民共和国（仅为明确本合同适用法律规则，不含香港特别行政区、澳门特别行政区及中国台湾地区）的法律和行政法规。本协议项下的及与之有关的一切争议，投资者与</w:t>
      </w:r>
      <w:r>
        <w:rPr>
          <w:rFonts w:hint="eastAsia" w:ascii="宋体" w:hAnsi="宋体"/>
          <w:sz w:val="24"/>
          <w:highlight w:val="none"/>
          <w:lang w:eastAsia="zh-CN"/>
        </w:rPr>
        <w:t>销售机构</w:t>
      </w:r>
      <w:r>
        <w:rPr>
          <w:rFonts w:hint="eastAsia" w:ascii="宋体" w:hAnsi="宋体"/>
          <w:sz w:val="24"/>
          <w:highlight w:val="none"/>
        </w:rPr>
        <w:t>双方应首先协商解决，协商不成的，应提交</w:t>
      </w:r>
      <w:r>
        <w:rPr>
          <w:rFonts w:hint="eastAsia" w:ascii="宋体" w:hAnsi="宋体"/>
          <w:sz w:val="24"/>
          <w:highlight w:val="none"/>
          <w:lang w:eastAsia="zh-CN"/>
        </w:rPr>
        <w:t>销售机构</w:t>
      </w:r>
      <w:r>
        <w:rPr>
          <w:rFonts w:hint="eastAsia" w:ascii="宋体" w:hAnsi="宋体" w:eastAsia="宋体" w:cs="黑体"/>
          <w:sz w:val="24"/>
          <w:highlight w:val="none"/>
          <w:lang w:val="en-US" w:eastAsia="zh-CN"/>
        </w:rPr>
        <w:t>或管理人</w:t>
      </w:r>
      <w:r>
        <w:rPr>
          <w:rFonts w:hint="eastAsia" w:ascii="宋体" w:hAnsi="宋体"/>
          <w:sz w:val="24"/>
          <w:highlight w:val="none"/>
        </w:rPr>
        <w:t>所在地人民法院诉讼解决。诉讼期间，未涉及争议的条款仍需继续履行。</w:t>
      </w:r>
    </w:p>
    <w:p>
      <w:pPr>
        <w:widowControl/>
        <w:spacing w:line="360" w:lineRule="auto"/>
        <w:ind w:firstLine="482" w:firstLineChars="200"/>
        <w:contextualSpacing/>
        <w:rPr>
          <w:rFonts w:hint="eastAsia" w:ascii="宋体" w:hAnsi="宋体"/>
          <w:b/>
          <w:bCs/>
          <w:sz w:val="24"/>
          <w:highlight w:val="none"/>
        </w:rPr>
      </w:pPr>
    </w:p>
    <w:p>
      <w:pPr>
        <w:widowControl/>
        <w:spacing w:line="360" w:lineRule="auto"/>
        <w:outlineLvl w:val="2"/>
        <w:rPr>
          <w:rFonts w:hint="eastAsia"/>
          <w:b/>
          <w:bCs/>
          <w:sz w:val="24"/>
          <w:highlight w:val="none"/>
        </w:rPr>
      </w:pPr>
      <w:r>
        <w:rPr>
          <w:rFonts w:hint="eastAsia"/>
          <w:b/>
          <w:bCs/>
          <w:sz w:val="24"/>
          <w:highlight w:val="none"/>
        </w:rPr>
        <w:t xml:space="preserve">    第七条 协议生效和终止</w:t>
      </w:r>
    </w:p>
    <w:p>
      <w:pPr>
        <w:widowControl/>
        <w:numPr>
          <w:ilvl w:val="0"/>
          <w:numId w:val="78"/>
        </w:numPr>
        <w:spacing w:line="360" w:lineRule="auto"/>
        <w:contextualSpacing/>
        <w:rPr>
          <w:rFonts w:hint="eastAsia" w:ascii="宋体" w:hAnsi="宋体"/>
          <w:sz w:val="24"/>
          <w:highlight w:val="none"/>
        </w:rPr>
      </w:pPr>
      <w:r>
        <w:rPr>
          <w:rFonts w:hint="eastAsia" w:ascii="宋体" w:hAnsi="宋体"/>
          <w:sz w:val="24"/>
          <w:highlight w:val="none"/>
        </w:rPr>
        <w:t>投资者和</w:t>
      </w:r>
      <w:r>
        <w:rPr>
          <w:rFonts w:hint="eastAsia" w:ascii="宋体" w:hAnsi="宋体"/>
          <w:sz w:val="24"/>
          <w:highlight w:val="none"/>
          <w:lang w:eastAsia="zh-CN"/>
        </w:rPr>
        <w:t>销售机构</w:t>
      </w:r>
      <w:r>
        <w:rPr>
          <w:rFonts w:hint="eastAsia" w:ascii="宋体" w:hAnsi="宋体"/>
          <w:sz w:val="24"/>
          <w:highlight w:val="none"/>
        </w:rPr>
        <w:t xml:space="preserve">双方认可本协议可以纸质或电子数据等形式提交、订立或确认。 </w:t>
      </w:r>
    </w:p>
    <w:p>
      <w:pPr>
        <w:widowControl/>
        <w:numPr>
          <w:ilvl w:val="0"/>
          <w:numId w:val="79"/>
        </w:numPr>
        <w:spacing w:line="360" w:lineRule="auto"/>
        <w:contextualSpacing/>
        <w:rPr>
          <w:rFonts w:hint="eastAsia" w:ascii="宋体" w:hAnsi="宋体"/>
          <w:sz w:val="24"/>
          <w:highlight w:val="none"/>
        </w:rPr>
      </w:pPr>
      <w:r>
        <w:rPr>
          <w:rFonts w:hint="eastAsia" w:ascii="宋体" w:hAnsi="宋体"/>
          <w:sz w:val="24"/>
          <w:highlight w:val="none"/>
        </w:rPr>
        <w:t>本协议书以纸质书面形式订立的，自投资者签</w:t>
      </w:r>
      <w:r>
        <w:rPr>
          <w:rFonts w:hint="eastAsia" w:ascii="宋体" w:hAnsi="宋体"/>
          <w:sz w:val="24"/>
          <w:highlight w:val="none"/>
          <w:lang w:val="en-US" w:eastAsia="zh-CN"/>
        </w:rPr>
        <w:t>署（如投资者为个人，应签字；如投资者为机构，应法定代表人或授权代理人签字或盖章并加盖公章或有效授权印章）</w:t>
      </w:r>
      <w:r>
        <w:rPr>
          <w:rFonts w:hint="eastAsia" w:ascii="宋体" w:hAnsi="宋体"/>
          <w:sz w:val="24"/>
          <w:highlight w:val="none"/>
        </w:rPr>
        <w:t>和</w:t>
      </w:r>
      <w:r>
        <w:rPr>
          <w:rFonts w:hint="eastAsia" w:ascii="宋体" w:hAnsi="宋体"/>
          <w:sz w:val="24"/>
          <w:highlight w:val="none"/>
          <w:lang w:eastAsia="zh-CN"/>
        </w:rPr>
        <w:t>销售机构</w:t>
      </w:r>
      <w:r>
        <w:rPr>
          <w:rFonts w:hint="eastAsia" w:ascii="宋体" w:hAnsi="宋体"/>
          <w:sz w:val="24"/>
          <w:highlight w:val="none"/>
        </w:rPr>
        <w:t>签章之后立即生效。协议一式叁份，投资者、管理人和</w:t>
      </w:r>
      <w:r>
        <w:rPr>
          <w:rFonts w:hint="eastAsia" w:ascii="宋体" w:hAnsi="宋体"/>
          <w:sz w:val="24"/>
          <w:highlight w:val="none"/>
          <w:lang w:eastAsia="zh-CN"/>
        </w:rPr>
        <w:t>销售机构</w:t>
      </w:r>
      <w:r>
        <w:rPr>
          <w:rFonts w:hint="eastAsia" w:ascii="宋体" w:hAnsi="宋体"/>
          <w:sz w:val="24"/>
          <w:highlight w:val="none"/>
        </w:rPr>
        <w:t xml:space="preserve">各执壹份，具有同等法律效力。 </w:t>
      </w:r>
    </w:p>
    <w:p>
      <w:pPr>
        <w:widowControl/>
        <w:numPr>
          <w:ilvl w:val="0"/>
          <w:numId w:val="79"/>
        </w:numPr>
        <w:spacing w:line="360" w:lineRule="auto"/>
        <w:contextualSpacing/>
        <w:rPr>
          <w:rFonts w:hint="eastAsia" w:ascii="宋体" w:hAnsi="宋体"/>
          <w:sz w:val="24"/>
          <w:highlight w:val="none"/>
        </w:rPr>
      </w:pPr>
      <w:r>
        <w:rPr>
          <w:rFonts w:hint="eastAsia" w:ascii="宋体" w:hAnsi="宋体"/>
          <w:sz w:val="24"/>
          <w:highlight w:val="none"/>
        </w:rPr>
        <w:t>本协议书以数据电文形式订立的，投资者在</w:t>
      </w:r>
      <w:r>
        <w:rPr>
          <w:rFonts w:hint="eastAsia" w:ascii="宋体" w:hAnsi="宋体"/>
          <w:sz w:val="24"/>
          <w:highlight w:val="none"/>
          <w:lang w:eastAsia="zh-CN"/>
        </w:rPr>
        <w:t>销售机构</w:t>
      </w:r>
      <w:r>
        <w:rPr>
          <w:rFonts w:hint="eastAsia" w:ascii="宋体" w:hAnsi="宋体"/>
          <w:sz w:val="24"/>
          <w:highlight w:val="none"/>
        </w:rPr>
        <w:t>的电子银行渠道（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9"/>
        </w:numPr>
        <w:spacing w:line="360" w:lineRule="auto"/>
        <w:contextualSpacing/>
        <w:rPr>
          <w:rFonts w:hint="eastAsia" w:ascii="宋体" w:hAnsi="宋体"/>
          <w:sz w:val="24"/>
          <w:highlight w:val="none"/>
        </w:rPr>
      </w:pPr>
      <w:r>
        <w:rPr>
          <w:rFonts w:hint="eastAsia" w:ascii="宋体" w:hAnsi="宋体"/>
          <w:sz w:val="24"/>
          <w:highlight w:val="none"/>
        </w:rPr>
        <w:t>投资者和</w:t>
      </w:r>
      <w:r>
        <w:rPr>
          <w:rFonts w:hint="eastAsia" w:ascii="宋体" w:hAnsi="宋体"/>
          <w:sz w:val="24"/>
          <w:highlight w:val="none"/>
          <w:lang w:eastAsia="zh-CN"/>
        </w:rPr>
        <w:t>销售机构</w:t>
      </w:r>
      <w:r>
        <w:rPr>
          <w:rFonts w:hint="eastAsia" w:ascii="宋体" w:hAnsi="宋体"/>
          <w:sz w:val="24"/>
          <w:highlight w:val="none"/>
        </w:rPr>
        <w:t>双方在本协议及对应期次的理财计划产品说明书项下权利义务履行完毕之日，本协议自动终止。</w:t>
      </w:r>
    </w:p>
    <w:p>
      <w:pPr>
        <w:widowControl/>
        <w:spacing w:line="360" w:lineRule="auto"/>
        <w:ind w:left="420"/>
        <w:contextualSpacing/>
        <w:rPr>
          <w:rFonts w:hint="eastAsia" w:ascii="宋体" w:hAnsi="宋体"/>
          <w:sz w:val="24"/>
          <w:highlight w:val="none"/>
        </w:rPr>
      </w:pPr>
    </w:p>
    <w:p>
      <w:pPr>
        <w:widowControl/>
        <w:spacing w:line="360" w:lineRule="auto"/>
        <w:outlineLvl w:val="2"/>
        <w:rPr>
          <w:rFonts w:hint="eastAsia"/>
          <w:b/>
          <w:sz w:val="24"/>
          <w:highlight w:val="none"/>
        </w:rPr>
      </w:pPr>
      <w:r>
        <w:rPr>
          <w:rFonts w:hint="eastAsia"/>
          <w:b/>
          <w:sz w:val="24"/>
          <w:highlight w:val="none"/>
        </w:rPr>
        <w:t xml:space="preserve">    第八条 附则 </w:t>
      </w:r>
    </w:p>
    <w:p>
      <w:pPr>
        <w:widowControl/>
        <w:numPr>
          <w:ilvl w:val="0"/>
          <w:numId w:val="80"/>
        </w:numPr>
        <w:spacing w:line="360" w:lineRule="auto"/>
        <w:contextualSpacing/>
        <w:rPr>
          <w:rFonts w:hint="eastAsia" w:ascii="宋体" w:hAnsi="宋体"/>
          <w:sz w:val="24"/>
          <w:highlight w:val="none"/>
        </w:rPr>
      </w:pPr>
      <w:r>
        <w:rPr>
          <w:rFonts w:hint="eastAsia" w:ascii="宋体" w:hAnsi="宋体"/>
          <w:sz w:val="24"/>
          <w:highlight w:val="none"/>
        </w:rPr>
        <w:t>如果投资者与</w:t>
      </w:r>
      <w:r>
        <w:rPr>
          <w:rFonts w:hint="eastAsia" w:ascii="宋体" w:hAnsi="宋体"/>
          <w:sz w:val="24"/>
          <w:highlight w:val="none"/>
          <w:lang w:eastAsia="zh-CN"/>
        </w:rPr>
        <w:t>销售机构</w:t>
      </w:r>
      <w:r>
        <w:rPr>
          <w:rFonts w:hint="eastAsia" w:ascii="宋体" w:hAnsi="宋体"/>
          <w:sz w:val="24"/>
          <w:highlight w:val="none"/>
        </w:rPr>
        <w:t>之间存在多份理财计划销售协议书，则每一协议书分别与其所对应的理财计划产品说明书等销售文本单独构成一个理财计划合同，各个合同之间互相独立，每一合同的效力及履行情况均独立于其他合同。</w:t>
      </w:r>
    </w:p>
    <w:p>
      <w:pPr>
        <w:widowControl/>
        <w:numPr>
          <w:ilvl w:val="0"/>
          <w:numId w:val="80"/>
        </w:numPr>
        <w:spacing w:line="360" w:lineRule="auto"/>
        <w:contextualSpacing/>
        <w:rPr>
          <w:rFonts w:hint="eastAsia"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80"/>
        </w:numPr>
        <w:spacing w:line="360" w:lineRule="auto"/>
        <w:contextualSpacing/>
        <w:rPr>
          <w:rFonts w:hint="eastAsia"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w:t>
      </w:r>
      <w:r>
        <w:rPr>
          <w:rFonts w:ascii="宋体" w:hAnsi="宋体"/>
          <w:sz w:val="24"/>
          <w:highlight w:val="none"/>
        </w:rPr>
        <w:t>合同</w:t>
      </w:r>
      <w:r>
        <w:rPr>
          <w:rFonts w:hint="eastAsia" w:ascii="宋体" w:hAnsi="宋体"/>
          <w:sz w:val="24"/>
          <w:highlight w:val="none"/>
        </w:rPr>
        <w:t>销售文件进行修订。</w:t>
      </w:r>
    </w:p>
    <w:p>
      <w:pPr>
        <w:widowControl/>
        <w:spacing w:line="360" w:lineRule="auto"/>
        <w:contextualSpacing/>
        <w:rPr>
          <w:rFonts w:hint="eastAsia" w:ascii="宋体" w:hAnsi="宋体"/>
          <w:sz w:val="24"/>
          <w:highlight w:val="none"/>
        </w:rPr>
      </w:pPr>
    </w:p>
    <w:p>
      <w:pPr>
        <w:spacing w:line="360" w:lineRule="auto"/>
        <w:rPr>
          <w:highlight w:val="none"/>
        </w:rPr>
      </w:pPr>
    </w:p>
    <w:p>
      <w:pPr>
        <w:spacing w:line="360" w:lineRule="auto"/>
        <w:rPr>
          <w:highlight w:val="none"/>
        </w:rPr>
      </w:pPr>
    </w:p>
    <w:p>
      <w:pPr>
        <w:widowControl/>
        <w:spacing w:line="360" w:lineRule="auto"/>
        <w:jc w:val="right"/>
        <w:rPr>
          <w:rFonts w:hint="eastAsia" w:ascii="宋体" w:hAnsi="Wingdings" w:cs="宋体"/>
          <w:color w:val="000000"/>
          <w:kern w:val="0"/>
          <w:sz w:val="24"/>
          <w:highlight w:val="none"/>
        </w:rPr>
      </w:pPr>
      <w:r>
        <w:rPr>
          <w:rFonts w:hint="eastAsia" w:ascii="宋体" w:hAnsi="宋体" w:cs="宋体"/>
          <w:kern w:val="0"/>
          <w:sz w:val="24"/>
          <w:highlight w:val="none"/>
        </w:rPr>
        <w:t>杭银理财有限责任公司</w:t>
      </w:r>
    </w:p>
    <w:p>
      <w:pPr>
        <w:spacing w:line="360" w:lineRule="auto"/>
        <w:rPr>
          <w:highlight w:val="none"/>
        </w:rPr>
      </w:pPr>
    </w:p>
    <w:p>
      <w:pPr>
        <w:spacing w:line="360" w:lineRule="auto"/>
        <w:rPr>
          <w:highlight w:val="none"/>
        </w:rPr>
      </w:pPr>
    </w:p>
    <w:p>
      <w:pPr>
        <w:spacing w:line="360" w:lineRule="auto"/>
        <w:rPr>
          <w:rFonts w:hint="eastAsia" w:ascii="宋体" w:hAnsi="宋体"/>
          <w:sz w:val="24"/>
          <w:highlight w:val="none"/>
        </w:rPr>
      </w:pPr>
    </w:p>
    <w:p>
      <w:pPr>
        <w:spacing w:line="360" w:lineRule="auto"/>
        <w:rPr>
          <w:rFonts w:ascii="宋体" w:hAnsi="宋体"/>
          <w:sz w:val="24"/>
          <w:highlight w:val="none"/>
        </w:rPr>
      </w:pPr>
      <w:r>
        <w:rPr>
          <w:rFonts w:hint="eastAsia" w:ascii="宋体" w:hAnsi="宋体"/>
          <w:sz w:val="24"/>
          <w:highlight w:val="none"/>
        </w:rPr>
        <w:t>本页为纸质形式（如有）销售协议书签章页</w:t>
      </w: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rFonts w:hint="eastAsia" w:ascii="宋体" w:hAnsi="宋体"/>
          <w:b/>
          <w:bCs/>
          <w:sz w:val="24"/>
          <w:highlight w:val="none"/>
        </w:rPr>
      </w:pPr>
      <w:r>
        <w:rPr>
          <w:rFonts w:hint="eastAsia" w:ascii="宋体" w:hAnsi="宋体"/>
          <w:b/>
          <w:bCs/>
          <w:sz w:val="24"/>
          <w:highlight w:val="none"/>
        </w:rPr>
        <w:t>投资者（签字</w:t>
      </w:r>
      <w:r>
        <w:rPr>
          <w:rFonts w:hint="eastAsia" w:ascii="宋体" w:hAnsi="宋体" w:eastAsia="宋体" w:cs="黑体"/>
          <w:b/>
          <w:bCs/>
          <w:sz w:val="24"/>
          <w:highlight w:val="none"/>
          <w:lang w:eastAsia="zh-CN"/>
        </w:rPr>
        <w:t>或签章</w:t>
      </w:r>
      <w:r>
        <w:rPr>
          <w:rFonts w:hint="eastAsia" w:ascii="宋体" w:hAnsi="宋体"/>
          <w:b/>
          <w:bCs/>
          <w:sz w:val="24"/>
          <w:highlight w:val="none"/>
        </w:rPr>
        <w:t>）：</w:t>
      </w:r>
    </w:p>
    <w:p>
      <w:pPr>
        <w:spacing w:line="360" w:lineRule="auto"/>
        <w:rPr>
          <w:rFonts w:hint="eastAsia" w:ascii="宋体" w:hAnsi="宋体"/>
          <w:b/>
          <w:bCs/>
          <w:sz w:val="24"/>
          <w:highlight w:val="none"/>
        </w:rPr>
      </w:pPr>
    </w:p>
    <w:p>
      <w:pPr>
        <w:spacing w:line="360" w:lineRule="auto"/>
        <w:rPr>
          <w:rFonts w:hint="eastAsia" w:ascii="宋体" w:hAnsi="宋体"/>
          <w:b/>
          <w:bCs/>
          <w:sz w:val="24"/>
          <w:highlight w:val="none"/>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hint="eastAsia" w:ascii="宋体" w:hAnsi="宋体"/>
          <w:b/>
          <w:bCs/>
          <w:sz w:val="24"/>
          <w:highlight w:val="none"/>
        </w:rPr>
      </w:pPr>
    </w:p>
    <w:p>
      <w:pPr>
        <w:spacing w:line="360" w:lineRule="auto"/>
        <w:rPr>
          <w:rFonts w:hint="eastAsia" w:ascii="宋体" w:hAnsi="宋体"/>
          <w:b/>
          <w:bCs/>
          <w:sz w:val="24"/>
          <w:highlight w:val="none"/>
        </w:rPr>
      </w:pPr>
    </w:p>
    <w:p>
      <w:pPr>
        <w:spacing w:line="360" w:lineRule="auto"/>
        <w:rPr>
          <w:rFonts w:hint="eastAsia" w:ascii="宋体" w:hAnsi="宋体"/>
          <w:b/>
          <w:bCs/>
          <w:sz w:val="24"/>
          <w:highlight w:val="none"/>
        </w:rPr>
      </w:pPr>
    </w:p>
    <w:p>
      <w:pPr>
        <w:spacing w:line="360" w:lineRule="auto"/>
        <w:rPr>
          <w:rFonts w:hint="eastAsia" w:ascii="宋体" w:hAnsi="宋体"/>
          <w:b/>
          <w:bCs/>
          <w:sz w:val="24"/>
          <w:highlight w:val="none"/>
        </w:rPr>
      </w:pPr>
    </w:p>
    <w:p>
      <w:pPr>
        <w:spacing w:line="360" w:lineRule="auto"/>
        <w:rPr>
          <w:rFonts w:hint="eastAsia" w:ascii="宋体" w:hAnsi="宋体"/>
          <w:b/>
          <w:bCs/>
          <w:sz w:val="24"/>
          <w:highlight w:val="none"/>
        </w:rPr>
      </w:pPr>
      <w:r>
        <w:rPr>
          <w:rFonts w:hint="eastAsia" w:ascii="宋体" w:hAnsi="宋体"/>
          <w:b/>
          <w:bCs/>
          <w:sz w:val="24"/>
          <w:highlight w:val="none"/>
          <w:lang w:eastAsia="zh-CN"/>
        </w:rPr>
        <w:t>销售机构</w:t>
      </w:r>
      <w:r>
        <w:rPr>
          <w:rFonts w:hint="eastAsia" w:ascii="宋体" w:hAnsi="宋体"/>
          <w:b/>
          <w:bCs/>
          <w:sz w:val="24"/>
          <w:highlight w:val="none"/>
        </w:rPr>
        <w:t>签章：</w:t>
      </w:r>
    </w:p>
    <w:p>
      <w:pPr>
        <w:spacing w:line="360" w:lineRule="auto"/>
        <w:rPr>
          <w:rFonts w:hint="eastAsia" w:ascii="宋体" w:hAnsi="宋体"/>
          <w:b/>
          <w:bCs/>
          <w:sz w:val="24"/>
          <w:highlight w:val="none"/>
        </w:rPr>
      </w:pPr>
    </w:p>
    <w:p>
      <w:pPr>
        <w:spacing w:line="360" w:lineRule="auto"/>
        <w:rPr>
          <w:rFonts w:hint="eastAsia" w:ascii="宋体" w:hAnsi="宋体"/>
          <w:b/>
          <w:bCs/>
          <w:sz w:val="24"/>
          <w:highlight w:val="none"/>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ind w:firstLine="480" w:firstLineChars="200"/>
        <w:rPr>
          <w:rFonts w:ascii="宋体" w:hAnsi="宋体" w:cs="宋体"/>
          <w:bCs/>
          <w:color w:val="000000"/>
          <w:sz w:val="24"/>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51</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oJ3aJsQEA&#10;AE4DAAAOAAAAAAAAAAEAIAAAAB4BAABkcnMvZTJvRG9jLnhtbFBLBQYAAAAABgAGAFkBAABBBQAA&#10;AAA=&#10;">
              <v:fill on="f" focussize="0,0"/>
              <v:stroke on="f"/>
              <v:imagedata o:title=""/>
              <o:lock v:ext="edit" aspectratio="f"/>
              <v:textbox inset="0mm,0mm,0mm,0mm" style="mso-fit-shape-to-text:t;">
                <w:txbxContent>
                  <w:p>
                    <w:pPr>
                      <w:pStyle w:val="5"/>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51</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pPr>
    <w:r>
      <w:rPr>
        <w:rFonts w:hint="eastAsia"/>
        <w:b/>
        <w:bCs/>
        <w:color w:val="auto"/>
        <w:lang w:eastAsia="zh-CN"/>
      </w:rPr>
      <w:t>理财非存款</w:t>
    </w:r>
    <w:r>
      <w:rPr>
        <w:rFonts w:hint="eastAsia"/>
        <w:b/>
        <w:bCs/>
        <w:color w:val="auto"/>
        <w:lang w:val="en-US" w:eastAsia="zh-CN"/>
      </w:rPr>
      <w:t xml:space="preserve"> 产品有风险 投资</w:t>
    </w:r>
    <w:r>
      <w:rPr>
        <w:rFonts w:hint="eastAsia"/>
        <w:b/>
        <w:bCs/>
        <w:color w:val="auto"/>
        <w:highlight w:val="none"/>
        <w:lang w:val="en-US" w:eastAsia="zh-CN"/>
      </w:rPr>
      <w:t>须</w:t>
    </w:r>
    <w:r>
      <w:rPr>
        <w:rFonts w:hint="eastAsia"/>
        <w:b/>
        <w:bCs/>
        <w:color w:val="auto"/>
        <w:lang w:val="en-US" w:eastAsia="zh-CN"/>
      </w:rPr>
      <w:t>谨慎</w:t>
    </w:r>
    <w:r>
      <w:rPr>
        <w:rFonts w:hint="default" w:eastAsia="宋体"/>
        <w:b/>
        <w:bCs/>
        <w:color w:val="auto"/>
        <w:lang w:val="en-US" w:eastAsia="zh-CN"/>
      </w:rPr>
      <w:drawing>
        <wp:anchor distT="0" distB="0" distL="114300" distR="114300" simplePos="0" relativeHeight="251658240" behindDoc="1" locked="0" layoutInCell="1" allowOverlap="1">
          <wp:simplePos x="0" y="0"/>
          <wp:positionH relativeFrom="column">
            <wp:posOffset>5181600</wp:posOffset>
          </wp:positionH>
          <wp:positionV relativeFrom="paragraph">
            <wp:posOffset>-553085</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1"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5460E80"/>
    <w:multiLevelType w:val="singleLevel"/>
    <w:tmpl w:val="85460E80"/>
    <w:lvl w:ilvl="0" w:tentative="0">
      <w:start w:val="1"/>
      <w:numFmt w:val="decimal"/>
      <w:suff w:val="nothing"/>
      <w:lvlText w:val="（%1）"/>
      <w:lvlJc w:val="left"/>
      <w:rPr>
        <w:rFonts w:hint="default"/>
        <w:b w:val="0"/>
        <w:bCs w:val="0"/>
      </w:rPr>
    </w:lvl>
  </w:abstractNum>
  <w:abstractNum w:abstractNumId="3">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4">
    <w:nsid w:val="8906C252"/>
    <w:multiLevelType w:val="singleLevel"/>
    <w:tmpl w:val="8906C252"/>
    <w:lvl w:ilvl="0" w:tentative="0">
      <w:start w:val="1"/>
      <w:numFmt w:val="decimal"/>
      <w:suff w:val="nothing"/>
      <w:lvlText w:val="（%1）"/>
      <w:lvlJc w:val="left"/>
      <w:rPr>
        <w:rFonts w:hint="default"/>
        <w:b w:val="0"/>
        <w:bCs w:val="0"/>
      </w:rPr>
    </w:lvl>
  </w:abstractNum>
  <w:abstractNum w:abstractNumId="5">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6">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7">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8">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9">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0">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1">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2">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3">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4">
    <w:nsid w:val="AC40BB97"/>
    <w:multiLevelType w:val="singleLevel"/>
    <w:tmpl w:val="AC40BB97"/>
    <w:lvl w:ilvl="0" w:tentative="0">
      <w:start w:val="1"/>
      <w:numFmt w:val="chineseCounting"/>
      <w:suff w:val="nothing"/>
      <w:lvlText w:val="%1、"/>
      <w:lvlJc w:val="left"/>
      <w:rPr>
        <w:rFonts w:hint="eastAsia"/>
      </w:rPr>
    </w:lvl>
  </w:abstractNum>
  <w:abstractNum w:abstractNumId="15">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6">
    <w:nsid w:val="B08226EF"/>
    <w:multiLevelType w:val="singleLevel"/>
    <w:tmpl w:val="B08226EF"/>
    <w:lvl w:ilvl="0" w:tentative="0">
      <w:start w:val="1"/>
      <w:numFmt w:val="chineseCounting"/>
      <w:suff w:val="space"/>
      <w:lvlText w:val="第%1条"/>
      <w:lvlJc w:val="left"/>
      <w:rPr>
        <w:rFonts w:hint="eastAsia"/>
      </w:rPr>
    </w:lvl>
  </w:abstractNum>
  <w:abstractNum w:abstractNumId="17">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8">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19">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0">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1">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2">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3">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4">
    <w:nsid w:val="D8D75090"/>
    <w:multiLevelType w:val="singleLevel"/>
    <w:tmpl w:val="D8D75090"/>
    <w:lvl w:ilvl="0" w:tentative="0">
      <w:start w:val="1"/>
      <w:numFmt w:val="decimal"/>
      <w:suff w:val="nothing"/>
      <w:lvlText w:val="（%1）"/>
      <w:lvlJc w:val="left"/>
      <w:rPr>
        <w:rFonts w:hint="default"/>
        <w:b w:val="0"/>
        <w:bCs w:val="0"/>
      </w:rPr>
    </w:lvl>
  </w:abstractNum>
  <w:abstractNum w:abstractNumId="25">
    <w:nsid w:val="DD2251DF"/>
    <w:multiLevelType w:val="singleLevel"/>
    <w:tmpl w:val="DD2251DF"/>
    <w:lvl w:ilvl="0" w:tentative="0">
      <w:start w:val="1"/>
      <w:numFmt w:val="decimal"/>
      <w:suff w:val="nothing"/>
      <w:lvlText w:val="（%1）"/>
      <w:lvlJc w:val="left"/>
      <w:rPr>
        <w:rFonts w:hint="default"/>
        <w:b w:val="0"/>
        <w:bCs w:val="0"/>
      </w:rPr>
    </w:lvl>
  </w:abstractNum>
  <w:abstractNum w:abstractNumId="26">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7">
    <w:nsid w:val="E70DF796"/>
    <w:multiLevelType w:val="singleLevel"/>
    <w:tmpl w:val="E70DF796"/>
    <w:lvl w:ilvl="0" w:tentative="0">
      <w:start w:val="1"/>
      <w:numFmt w:val="decimal"/>
      <w:suff w:val="nothing"/>
      <w:lvlText w:val="（%1）"/>
      <w:lvlJc w:val="left"/>
    </w:lvl>
  </w:abstractNum>
  <w:abstractNum w:abstractNumId="28">
    <w:nsid w:val="EFF37F09"/>
    <w:multiLevelType w:val="singleLevel"/>
    <w:tmpl w:val="EFF37F09"/>
    <w:lvl w:ilvl="0" w:tentative="0">
      <w:start w:val="1"/>
      <w:numFmt w:val="decimal"/>
      <w:suff w:val="nothing"/>
      <w:lvlText w:val="（%1）"/>
      <w:lvlJc w:val="left"/>
      <w:rPr>
        <w:rFonts w:hint="default"/>
        <w:b w:val="0"/>
        <w:bCs w:val="0"/>
      </w:rPr>
    </w:lvl>
  </w:abstractNum>
  <w:abstractNum w:abstractNumId="29">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0">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1">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2">
    <w:nsid w:val="F574F5B6"/>
    <w:multiLevelType w:val="singleLevel"/>
    <w:tmpl w:val="F574F5B6"/>
    <w:lvl w:ilvl="0" w:tentative="0">
      <w:start w:val="1"/>
      <w:numFmt w:val="decimal"/>
      <w:suff w:val="nothing"/>
      <w:lvlText w:val="（%1）"/>
      <w:lvlJc w:val="left"/>
    </w:lvl>
  </w:abstractNum>
  <w:abstractNum w:abstractNumId="33">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4">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5">
    <w:nsid w:val="084A6179"/>
    <w:multiLevelType w:val="singleLevel"/>
    <w:tmpl w:val="084A6179"/>
    <w:lvl w:ilvl="0" w:tentative="0">
      <w:start w:val="1"/>
      <w:numFmt w:val="decimal"/>
      <w:suff w:val="nothing"/>
      <w:lvlText w:val="（%1）"/>
      <w:lvlJc w:val="left"/>
    </w:lvl>
  </w:abstractNum>
  <w:abstractNum w:abstractNumId="36">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37">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sz w:val="24"/>
        <w:szCs w:val="24"/>
      </w:rPr>
    </w:lvl>
  </w:abstractNum>
  <w:abstractNum w:abstractNumId="38">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39">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0">
    <w:nsid w:val="167B0BB4"/>
    <w:multiLevelType w:val="singleLevel"/>
    <w:tmpl w:val="167B0BB4"/>
    <w:lvl w:ilvl="0" w:tentative="0">
      <w:start w:val="1"/>
      <w:numFmt w:val="decimal"/>
      <w:suff w:val="nothing"/>
      <w:lvlText w:val="（%1）"/>
      <w:lvlJc w:val="left"/>
    </w:lvl>
  </w:abstractNum>
  <w:abstractNum w:abstractNumId="41">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42">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3">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4">
    <w:nsid w:val="2CB63BE6"/>
    <w:multiLevelType w:val="singleLevel"/>
    <w:tmpl w:val="2CB63BE6"/>
    <w:lvl w:ilvl="0" w:tentative="0">
      <w:start w:val="1"/>
      <w:numFmt w:val="decimal"/>
      <w:suff w:val="nothing"/>
      <w:lvlText w:val="（%1）"/>
      <w:lvlJc w:val="left"/>
      <w:rPr>
        <w:rFonts w:hint="default"/>
        <w:b w:val="0"/>
        <w:bCs w:val="0"/>
      </w:rPr>
    </w:lvl>
  </w:abstractNum>
  <w:abstractNum w:abstractNumId="45">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6">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47">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48">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49">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0">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1">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2">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3">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4">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5">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56">
    <w:nsid w:val="5BA91325"/>
    <w:multiLevelType w:val="singleLevel"/>
    <w:tmpl w:val="5BA91325"/>
    <w:lvl w:ilvl="0" w:tentative="0">
      <w:start w:val="1"/>
      <w:numFmt w:val="decimal"/>
      <w:suff w:val="nothing"/>
      <w:lvlText w:val="（%1）"/>
      <w:lvlJc w:val="left"/>
    </w:lvl>
  </w:abstractNum>
  <w:abstractNum w:abstractNumId="57">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58">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59">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0">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1">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2">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3">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4">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65">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66">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67">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68">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69">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0">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1">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2">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3">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74">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75">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76">
    <w:nsid w:val="61F30F62"/>
    <w:multiLevelType w:val="singleLevel"/>
    <w:tmpl w:val="61F30F62"/>
    <w:lvl w:ilvl="0" w:tentative="0">
      <w:start w:val="1"/>
      <w:numFmt w:val="decimal"/>
      <w:suff w:val="nothing"/>
      <w:lvlText w:val="（%1）"/>
      <w:lvlJc w:val="left"/>
      <w:rPr>
        <w:rFonts w:hint="default"/>
        <w:b w:val="0"/>
        <w:bCs w:val="0"/>
      </w:rPr>
    </w:lvl>
  </w:abstractNum>
  <w:abstractNum w:abstractNumId="77">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78">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79">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4"/>
  </w:num>
  <w:num w:numId="2">
    <w:abstractNumId w:val="1"/>
  </w:num>
  <w:num w:numId="3">
    <w:abstractNumId w:val="49"/>
  </w:num>
  <w:num w:numId="4">
    <w:abstractNumId w:val="42"/>
  </w:num>
  <w:num w:numId="5">
    <w:abstractNumId w:val="20"/>
  </w:num>
  <w:num w:numId="6">
    <w:abstractNumId w:val="78"/>
  </w:num>
  <w:num w:numId="7">
    <w:abstractNumId w:val="36"/>
  </w:num>
  <w:num w:numId="8">
    <w:abstractNumId w:val="79"/>
  </w:num>
  <w:num w:numId="9">
    <w:abstractNumId w:val="54"/>
  </w:num>
  <w:num w:numId="10">
    <w:abstractNumId w:val="51"/>
  </w:num>
  <w:num w:numId="11">
    <w:abstractNumId w:val="33"/>
  </w:num>
  <w:num w:numId="12">
    <w:abstractNumId w:val="30"/>
  </w:num>
  <w:num w:numId="13">
    <w:abstractNumId w:val="38"/>
  </w:num>
  <w:num w:numId="14">
    <w:abstractNumId w:val="29"/>
  </w:num>
  <w:num w:numId="15">
    <w:abstractNumId w:val="21"/>
  </w:num>
  <w:num w:numId="16">
    <w:abstractNumId w:val="11"/>
  </w:num>
  <w:num w:numId="17">
    <w:abstractNumId w:val="8"/>
  </w:num>
  <w:num w:numId="18">
    <w:abstractNumId w:val="9"/>
  </w:num>
  <w:num w:numId="19">
    <w:abstractNumId w:val="7"/>
  </w:num>
  <w:num w:numId="20">
    <w:abstractNumId w:val="37"/>
  </w:num>
  <w:num w:numId="21">
    <w:abstractNumId w:val="50"/>
  </w:num>
  <w:num w:numId="22">
    <w:abstractNumId w:val="32"/>
  </w:num>
  <w:num w:numId="23">
    <w:abstractNumId w:val="56"/>
  </w:num>
  <w:num w:numId="24">
    <w:abstractNumId w:val="19"/>
  </w:num>
  <w:num w:numId="25">
    <w:abstractNumId w:val="43"/>
  </w:num>
  <w:num w:numId="26">
    <w:abstractNumId w:val="23"/>
  </w:num>
  <w:num w:numId="27">
    <w:abstractNumId w:val="6"/>
  </w:num>
  <w:num w:numId="28">
    <w:abstractNumId w:val="53"/>
  </w:num>
  <w:num w:numId="29">
    <w:abstractNumId w:val="5"/>
  </w:num>
  <w:num w:numId="30">
    <w:abstractNumId w:val="35"/>
  </w:num>
  <w:num w:numId="31">
    <w:abstractNumId w:val="41"/>
  </w:num>
  <w:num w:numId="32">
    <w:abstractNumId w:val="77"/>
  </w:num>
  <w:num w:numId="33">
    <w:abstractNumId w:val="34"/>
  </w:num>
  <w:num w:numId="34">
    <w:abstractNumId w:val="22"/>
  </w:num>
  <w:num w:numId="35">
    <w:abstractNumId w:val="45"/>
  </w:num>
  <w:num w:numId="36">
    <w:abstractNumId w:val="0"/>
  </w:num>
  <w:num w:numId="37">
    <w:abstractNumId w:val="25"/>
  </w:num>
  <w:num w:numId="38">
    <w:abstractNumId w:val="48"/>
  </w:num>
  <w:num w:numId="39">
    <w:abstractNumId w:val="3"/>
  </w:num>
  <w:num w:numId="40">
    <w:abstractNumId w:val="26"/>
  </w:num>
  <w:num w:numId="41">
    <w:abstractNumId w:val="17"/>
  </w:num>
  <w:num w:numId="42">
    <w:abstractNumId w:val="52"/>
  </w:num>
  <w:num w:numId="43">
    <w:abstractNumId w:val="39"/>
  </w:num>
  <w:num w:numId="44">
    <w:abstractNumId w:val="18"/>
  </w:num>
  <w:num w:numId="45">
    <w:abstractNumId w:val="31"/>
  </w:num>
  <w:num w:numId="46">
    <w:abstractNumId w:val="27"/>
  </w:num>
  <w:num w:numId="47">
    <w:abstractNumId w:val="28"/>
  </w:num>
  <w:num w:numId="48">
    <w:abstractNumId w:val="76"/>
  </w:num>
  <w:num w:numId="49">
    <w:abstractNumId w:val="44"/>
  </w:num>
  <w:num w:numId="50">
    <w:abstractNumId w:val="2"/>
  </w:num>
  <w:num w:numId="51">
    <w:abstractNumId w:val="55"/>
  </w:num>
  <w:num w:numId="52">
    <w:abstractNumId w:val="12"/>
  </w:num>
  <w:num w:numId="53">
    <w:abstractNumId w:val="10"/>
  </w:num>
  <w:num w:numId="54">
    <w:abstractNumId w:val="13"/>
  </w:num>
  <w:num w:numId="55">
    <w:abstractNumId w:val="40"/>
  </w:num>
  <w:num w:numId="56">
    <w:abstractNumId w:val="24"/>
  </w:num>
  <w:num w:numId="57">
    <w:abstractNumId w:val="4"/>
  </w:num>
  <w:num w:numId="58">
    <w:abstractNumId w:val="47"/>
  </w:num>
  <w:num w:numId="59">
    <w:abstractNumId w:val="64"/>
  </w:num>
  <w:num w:numId="60">
    <w:abstractNumId w:val="63"/>
  </w:num>
  <w:num w:numId="61">
    <w:abstractNumId w:val="65"/>
  </w:num>
  <w:num w:numId="62">
    <w:abstractNumId w:val="66"/>
  </w:num>
  <w:num w:numId="63">
    <w:abstractNumId w:val="67"/>
  </w:num>
  <w:num w:numId="64">
    <w:abstractNumId w:val="68"/>
  </w:num>
  <w:num w:numId="65">
    <w:abstractNumId w:val="69"/>
  </w:num>
  <w:num w:numId="66">
    <w:abstractNumId w:val="46"/>
  </w:num>
  <w:num w:numId="67">
    <w:abstractNumId w:val="16"/>
  </w:num>
  <w:num w:numId="68">
    <w:abstractNumId w:val="57"/>
  </w:num>
  <w:num w:numId="69">
    <w:abstractNumId w:val="58"/>
  </w:num>
  <w:num w:numId="70">
    <w:abstractNumId w:val="59"/>
  </w:num>
  <w:num w:numId="71">
    <w:abstractNumId w:val="60"/>
  </w:num>
  <w:num w:numId="72">
    <w:abstractNumId w:val="61"/>
  </w:num>
  <w:num w:numId="73">
    <w:abstractNumId w:val="62"/>
  </w:num>
  <w:num w:numId="74">
    <w:abstractNumId w:val="70"/>
  </w:num>
  <w:num w:numId="75">
    <w:abstractNumId w:val="71"/>
  </w:num>
  <w:num w:numId="76">
    <w:abstractNumId w:val="15"/>
  </w:num>
  <w:num w:numId="77">
    <w:abstractNumId w:val="72"/>
  </w:num>
  <w:num w:numId="78">
    <w:abstractNumId w:val="73"/>
  </w:num>
  <w:num w:numId="79">
    <w:abstractNumId w:val="74"/>
  </w:num>
  <w:num w:numId="80">
    <w:abstractNumId w:val="7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0"/>
  <w:drawingGridVerticalSpacing w:val="156"/>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5ZjUwYzE3NDdkZDY1ZTUwZTQwZTM5ODM0MmI1ZGMifQ=="/>
    <w:docVar w:name="KSO_WPS_MARK_KEY" w:val="37e384c3-4aaa-440e-934e-6eda64ea758b"/>
  </w:docVars>
  <w:rsids>
    <w:rsidRoot w:val="00172A27"/>
    <w:rsid w:val="00127EED"/>
    <w:rsid w:val="002C7EF9"/>
    <w:rsid w:val="004909B3"/>
    <w:rsid w:val="00520830"/>
    <w:rsid w:val="006E07BC"/>
    <w:rsid w:val="007B6489"/>
    <w:rsid w:val="00AB5752"/>
    <w:rsid w:val="00E06929"/>
    <w:rsid w:val="00EB712E"/>
    <w:rsid w:val="00FB0E83"/>
    <w:rsid w:val="01E330BC"/>
    <w:rsid w:val="022C266D"/>
    <w:rsid w:val="02CB4AF7"/>
    <w:rsid w:val="03170B42"/>
    <w:rsid w:val="033259D5"/>
    <w:rsid w:val="03E00C28"/>
    <w:rsid w:val="0468177F"/>
    <w:rsid w:val="04845B79"/>
    <w:rsid w:val="06605967"/>
    <w:rsid w:val="06DF1F61"/>
    <w:rsid w:val="07F57DA4"/>
    <w:rsid w:val="0825466B"/>
    <w:rsid w:val="08C06B57"/>
    <w:rsid w:val="0AEF3D0C"/>
    <w:rsid w:val="0B413915"/>
    <w:rsid w:val="0B8251C9"/>
    <w:rsid w:val="0B9C1C2D"/>
    <w:rsid w:val="0B9E090F"/>
    <w:rsid w:val="0CD50D95"/>
    <w:rsid w:val="0E7B6A15"/>
    <w:rsid w:val="0E9E528B"/>
    <w:rsid w:val="0EEF1A49"/>
    <w:rsid w:val="0F777231"/>
    <w:rsid w:val="0F8072BB"/>
    <w:rsid w:val="0F866D61"/>
    <w:rsid w:val="0FA604D1"/>
    <w:rsid w:val="0FAD023A"/>
    <w:rsid w:val="10267CF2"/>
    <w:rsid w:val="10D07610"/>
    <w:rsid w:val="10E505B7"/>
    <w:rsid w:val="1141717E"/>
    <w:rsid w:val="11C946E2"/>
    <w:rsid w:val="126D33E8"/>
    <w:rsid w:val="127D7AC5"/>
    <w:rsid w:val="132F20ED"/>
    <w:rsid w:val="14233F1C"/>
    <w:rsid w:val="144F2413"/>
    <w:rsid w:val="14CB7308"/>
    <w:rsid w:val="15025C38"/>
    <w:rsid w:val="15507D31"/>
    <w:rsid w:val="155A68E0"/>
    <w:rsid w:val="17F36337"/>
    <w:rsid w:val="18A92B8D"/>
    <w:rsid w:val="1BFC63BA"/>
    <w:rsid w:val="1C692544"/>
    <w:rsid w:val="1C79739D"/>
    <w:rsid w:val="1C8F465C"/>
    <w:rsid w:val="1CDE544D"/>
    <w:rsid w:val="1E135651"/>
    <w:rsid w:val="1E544E3F"/>
    <w:rsid w:val="1EF50B96"/>
    <w:rsid w:val="1F7D3106"/>
    <w:rsid w:val="1FDA2F63"/>
    <w:rsid w:val="21A67B64"/>
    <w:rsid w:val="2297514B"/>
    <w:rsid w:val="22B23AF8"/>
    <w:rsid w:val="242D0854"/>
    <w:rsid w:val="247755D9"/>
    <w:rsid w:val="25D26B04"/>
    <w:rsid w:val="25DA3557"/>
    <w:rsid w:val="25E74F4E"/>
    <w:rsid w:val="26B7240F"/>
    <w:rsid w:val="26B84FF0"/>
    <w:rsid w:val="27505FBA"/>
    <w:rsid w:val="2BCD0352"/>
    <w:rsid w:val="2BFB4554"/>
    <w:rsid w:val="2C9B2A75"/>
    <w:rsid w:val="2CA02CA1"/>
    <w:rsid w:val="2CB41CDE"/>
    <w:rsid w:val="2D4B4C9F"/>
    <w:rsid w:val="2E804153"/>
    <w:rsid w:val="2F5B1280"/>
    <w:rsid w:val="2F7A6DFD"/>
    <w:rsid w:val="2FAF3B79"/>
    <w:rsid w:val="2FF60969"/>
    <w:rsid w:val="31750334"/>
    <w:rsid w:val="3182057B"/>
    <w:rsid w:val="32485F31"/>
    <w:rsid w:val="34824A12"/>
    <w:rsid w:val="35105209"/>
    <w:rsid w:val="36810EC8"/>
    <w:rsid w:val="370319F6"/>
    <w:rsid w:val="37501DF6"/>
    <w:rsid w:val="37AE7D0A"/>
    <w:rsid w:val="3888715E"/>
    <w:rsid w:val="389B7D8D"/>
    <w:rsid w:val="39CE7544"/>
    <w:rsid w:val="39DC1BD6"/>
    <w:rsid w:val="3AFE2EA6"/>
    <w:rsid w:val="3B613958"/>
    <w:rsid w:val="3B7A06B4"/>
    <w:rsid w:val="3C162EE1"/>
    <w:rsid w:val="3C72467E"/>
    <w:rsid w:val="3D803185"/>
    <w:rsid w:val="3D952002"/>
    <w:rsid w:val="3DAF1A5E"/>
    <w:rsid w:val="3E267866"/>
    <w:rsid w:val="3E446F72"/>
    <w:rsid w:val="3E6260D1"/>
    <w:rsid w:val="3F9428BE"/>
    <w:rsid w:val="401D42F0"/>
    <w:rsid w:val="40FA2D1A"/>
    <w:rsid w:val="41F97743"/>
    <w:rsid w:val="42E329DD"/>
    <w:rsid w:val="433D378B"/>
    <w:rsid w:val="434C7FF3"/>
    <w:rsid w:val="463B593D"/>
    <w:rsid w:val="46CB2C58"/>
    <w:rsid w:val="48402042"/>
    <w:rsid w:val="48424A1F"/>
    <w:rsid w:val="48975A3F"/>
    <w:rsid w:val="49DD0ED4"/>
    <w:rsid w:val="4A2263FF"/>
    <w:rsid w:val="4A562519"/>
    <w:rsid w:val="4ADD3BE3"/>
    <w:rsid w:val="4B841650"/>
    <w:rsid w:val="4BE505DD"/>
    <w:rsid w:val="4C5C40B1"/>
    <w:rsid w:val="4CC53366"/>
    <w:rsid w:val="4D2E049A"/>
    <w:rsid w:val="4D693017"/>
    <w:rsid w:val="4D7F06C0"/>
    <w:rsid w:val="4D8D1273"/>
    <w:rsid w:val="4F1B6F35"/>
    <w:rsid w:val="4F20048B"/>
    <w:rsid w:val="4F212124"/>
    <w:rsid w:val="4F4A03F3"/>
    <w:rsid w:val="503B586A"/>
    <w:rsid w:val="508D75C7"/>
    <w:rsid w:val="51F56F6B"/>
    <w:rsid w:val="52091595"/>
    <w:rsid w:val="5221238A"/>
    <w:rsid w:val="5246747D"/>
    <w:rsid w:val="525024E8"/>
    <w:rsid w:val="52D20572"/>
    <w:rsid w:val="5349716A"/>
    <w:rsid w:val="53916CC5"/>
    <w:rsid w:val="543B6C03"/>
    <w:rsid w:val="5452022E"/>
    <w:rsid w:val="550A7003"/>
    <w:rsid w:val="554B520C"/>
    <w:rsid w:val="55967810"/>
    <w:rsid w:val="55A42FA5"/>
    <w:rsid w:val="55D73C36"/>
    <w:rsid w:val="56192B5A"/>
    <w:rsid w:val="5764451A"/>
    <w:rsid w:val="58DD72C6"/>
    <w:rsid w:val="5A0B1227"/>
    <w:rsid w:val="5A1E2133"/>
    <w:rsid w:val="5B2F0B8B"/>
    <w:rsid w:val="5BFA606A"/>
    <w:rsid w:val="5C7E7C83"/>
    <w:rsid w:val="5D6E6559"/>
    <w:rsid w:val="5DF93585"/>
    <w:rsid w:val="5E531617"/>
    <w:rsid w:val="5F087411"/>
    <w:rsid w:val="5FE37D04"/>
    <w:rsid w:val="60A362BD"/>
    <w:rsid w:val="60C809E8"/>
    <w:rsid w:val="60DD604A"/>
    <w:rsid w:val="612B3563"/>
    <w:rsid w:val="61AF074A"/>
    <w:rsid w:val="62D35EDA"/>
    <w:rsid w:val="64606D9B"/>
    <w:rsid w:val="66853343"/>
    <w:rsid w:val="66A95B28"/>
    <w:rsid w:val="66B655AC"/>
    <w:rsid w:val="67075395"/>
    <w:rsid w:val="67B46A51"/>
    <w:rsid w:val="68982F49"/>
    <w:rsid w:val="68C43CF2"/>
    <w:rsid w:val="68E6218C"/>
    <w:rsid w:val="697836CF"/>
    <w:rsid w:val="698C75AE"/>
    <w:rsid w:val="69A5600A"/>
    <w:rsid w:val="69FF60E8"/>
    <w:rsid w:val="6B5C27F1"/>
    <w:rsid w:val="6C1A61DA"/>
    <w:rsid w:val="6CB00E61"/>
    <w:rsid w:val="6DCE5B48"/>
    <w:rsid w:val="6E822944"/>
    <w:rsid w:val="6F443EC4"/>
    <w:rsid w:val="709F5E89"/>
    <w:rsid w:val="70DE1F58"/>
    <w:rsid w:val="723B4B2B"/>
    <w:rsid w:val="72CF076E"/>
    <w:rsid w:val="73040C29"/>
    <w:rsid w:val="736047B8"/>
    <w:rsid w:val="739F7200"/>
    <w:rsid w:val="74F55397"/>
    <w:rsid w:val="753F4B02"/>
    <w:rsid w:val="7790260C"/>
    <w:rsid w:val="779E2189"/>
    <w:rsid w:val="77B52AAE"/>
    <w:rsid w:val="780A669C"/>
    <w:rsid w:val="789E1844"/>
    <w:rsid w:val="79C90C2C"/>
    <w:rsid w:val="7A3B2905"/>
    <w:rsid w:val="7AC953A0"/>
    <w:rsid w:val="7AFD2104"/>
    <w:rsid w:val="7B0F21D0"/>
    <w:rsid w:val="7C0B400E"/>
    <w:rsid w:val="7CC17505"/>
    <w:rsid w:val="7E09751D"/>
    <w:rsid w:val="7E113679"/>
    <w:rsid w:val="7EA570C5"/>
    <w:rsid w:val="7F074098"/>
    <w:rsid w:val="7F7D20D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character" w:default="1" w:styleId="11">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annotation text"/>
    <w:basedOn w:val="1"/>
    <w:link w:val="16"/>
    <w:qFormat/>
    <w:uiPriority w:val="0"/>
    <w:pPr>
      <w:jc w:val="left"/>
    </w:pPr>
    <w:rPr>
      <w:rFonts w:cs="Times New Roman"/>
    </w:rPr>
  </w:style>
  <w:style w:type="paragraph" w:styleId="4">
    <w:name w:val="Balloon Text"/>
    <w:basedOn w:val="1"/>
    <w:link w:val="15"/>
    <w:qFormat/>
    <w:uiPriority w:val="0"/>
    <w:rPr>
      <w:rFonts w:cs="Times New Roman"/>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annotation subject"/>
    <w:basedOn w:val="3"/>
    <w:next w:val="3"/>
    <w:link w:val="14"/>
    <w:qFormat/>
    <w:uiPriority w:val="0"/>
    <w:rPr>
      <w:rFonts w:cs="Times New Roman"/>
      <w:b/>
      <w:bCs/>
    </w:rPr>
  </w:style>
  <w:style w:type="table" w:styleId="10">
    <w:name w:val="Table Grid"/>
    <w:basedOn w:val="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Hyperlink"/>
    <w:qFormat/>
    <w:uiPriority w:val="0"/>
    <w:rPr>
      <w:color w:val="0000FF"/>
      <w:u w:val="single"/>
    </w:rPr>
  </w:style>
  <w:style w:type="character" w:styleId="13">
    <w:name w:val="annotation reference"/>
    <w:qFormat/>
    <w:uiPriority w:val="0"/>
    <w:rPr>
      <w:sz w:val="21"/>
      <w:szCs w:val="21"/>
    </w:rPr>
  </w:style>
  <w:style w:type="character" w:customStyle="1" w:styleId="14">
    <w:name w:val="批注主题 Char"/>
    <w:link w:val="8"/>
    <w:qFormat/>
    <w:uiPriority w:val="0"/>
    <w:rPr>
      <w:rFonts w:ascii="Calibri" w:hAnsi="Calibri" w:cs="黑体"/>
      <w:b/>
      <w:bCs/>
      <w:kern w:val="2"/>
      <w:sz w:val="21"/>
      <w:szCs w:val="24"/>
    </w:rPr>
  </w:style>
  <w:style w:type="character" w:customStyle="1" w:styleId="15">
    <w:name w:val="批注框文本 Char"/>
    <w:link w:val="4"/>
    <w:qFormat/>
    <w:uiPriority w:val="0"/>
    <w:rPr>
      <w:rFonts w:ascii="Calibri" w:hAnsi="Calibri" w:cs="黑体"/>
      <w:kern w:val="2"/>
      <w:sz w:val="18"/>
      <w:szCs w:val="18"/>
    </w:rPr>
  </w:style>
  <w:style w:type="character" w:customStyle="1" w:styleId="16">
    <w:name w:val="批注文字 Char"/>
    <w:link w:val="3"/>
    <w:qFormat/>
    <w:uiPriority w:val="0"/>
    <w:rPr>
      <w:rFonts w:ascii="Calibri" w:hAnsi="Calibri" w:cs="黑体"/>
      <w:kern w:val="2"/>
      <w:sz w:val="21"/>
      <w:szCs w:val="24"/>
    </w:rPr>
  </w:style>
  <w:style w:type="paragraph" w:customStyle="1" w:styleId="17">
    <w:name w:val="List Paragraph"/>
    <w:basedOn w:val="1"/>
    <w:unhideWhenUsed/>
    <w:qFormat/>
    <w:uiPriority w:val="99"/>
    <w:pPr>
      <w:ind w:firstLine="420" w:firstLineChars="200"/>
    </w:pPr>
  </w:style>
  <w:style w:type="paragraph" w:customStyle="1" w:styleId="1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56</Pages>
  <Words>35320</Words>
  <Characters>37062</Characters>
  <Lines>255</Lines>
  <Paragraphs>71</Paragraphs>
  <TotalTime>0</TotalTime>
  <ScaleCrop>false</ScaleCrop>
  <LinksUpToDate>false</LinksUpToDate>
  <CharactersWithSpaces>37513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2021-07-01T06:35:00Z</dcterms:created>
  <dc:creator>Administrator</dc:creator>
  <cp:lastModifiedBy>hccb</cp:lastModifiedBy>
  <dcterms:modified xsi:type="dcterms:W3CDTF">2025-03-24T08:39:42Z</dcterms:modified>
  <dc:title>杭银理财幸福99XXXX理财计划合同</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A70A2227A99B4340974191B47870DEF5</vt:lpwstr>
  </property>
  <property fmtid="{D5CDD505-2E9C-101B-9397-08002B2CF9AE}" pid="3" name="KSOProductBuildVer">
    <vt:lpwstr>2052-11.8.2.8411</vt:lpwstr>
  </property>
</Properties>
</file>