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both"/>
        <w:rPr>
          <w:rFonts w:ascii="宋体" w:hAnsi="宋体" w:cs="宋体"/>
          <w:sz w:val="32"/>
          <w:szCs w:val="32"/>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杭银理财幸福99添益90天周期型理财计划风险揭示书</w:t>
      </w:r>
    </w:p>
    <w:p>
      <w:pPr>
        <w:jc w:val="center"/>
        <w:outlineLvl w:val="1"/>
        <w:rPr>
          <w:rFonts w:ascii="宋体" w:hAnsi="宋体" w:cs="宋体"/>
          <w:sz w:val="28"/>
          <w:szCs w:val="28"/>
          <w:highlight w:val="none"/>
        </w:rPr>
      </w:pPr>
      <w:r>
        <w:rPr>
          <w:rFonts w:hint="eastAsia" w:ascii="宋体" w:hAnsi="宋体" w:cs="宋体"/>
          <w:sz w:val="28"/>
          <w:szCs w:val="28"/>
          <w:highlight w:val="none"/>
        </w:rPr>
        <w:t>（202101版）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val="en-US" w:eastAsia="zh-CN"/>
        </w:rPr>
        <w:t>和</w:t>
      </w:r>
      <w:r>
        <w:rPr>
          <w:rFonts w:hint="eastAsia" w:ascii="宋体" w:hAnsi="宋体" w:cs="宋体"/>
          <w:bCs/>
          <w:sz w:val="24"/>
          <w:highlight w:val="none"/>
        </w:rPr>
        <w:t>理财计划销售协议书</w:t>
      </w:r>
      <w:r>
        <w:rPr>
          <w:rFonts w:hint="eastAsia" w:ascii="宋体" w:hAnsi="宋体" w:cs="宋体"/>
          <w:bCs/>
          <w:sz w:val="24"/>
          <w:highlight w:val="none"/>
        </w:rPr>
        <w:t>，若通过电子渠道购买的，成功交易后视同为投资者与管理人已完成理财计划交易合同的签订），了解理财计划相关具体情况，并确保已评估自身的风险承受能力和理财计划相关风险后，谨慎投资。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提前终止风险：为保护投资者利益，在理财计划存续期间，管理人可根据理财计划说明书约定的情形提前终止本理财计划。如理财计划被提前终止，则投资者将面临提前终止再投资的风险。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资金流动性风险：本理财产品封闭期后每日开放申购，投资者须做出到期方式选择，持有本产品单个或多个投资周期，期间不得提前赎回。</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收益不达业绩比较基准风险：本理财产品的投资收益与投资者的申购、赎回时点密切相关，收益存在一定的波动性，产品本金出现损失的可能性不容忽视。</w:t>
      </w:r>
    </w:p>
    <w:p>
      <w:pPr>
        <w:widowControl/>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highlight w:val="none"/>
        </w:rPr>
      </w:pP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w:t>
      </w:r>
      <w:r>
        <w:rPr>
          <w:rFonts w:hint="eastAsia" w:ascii="宋体" w:hAnsi="宋体" w:cs="宋体"/>
          <w:b/>
          <w:sz w:val="24"/>
          <w:highlight w:val="none"/>
        </w:rPr>
        <w:t>〖无固定期限〗，</w:t>
      </w:r>
      <w:r>
        <w:rPr>
          <w:rFonts w:hint="eastAsia" w:ascii="宋体" w:hAnsi="宋体" w:cs="宋体"/>
          <w:b/>
          <w:sz w:val="24"/>
          <w:highlight w:val="none"/>
        </w:rPr>
        <w:t>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eastAsia="宋体" w:cs="宋体"/>
          <w:bCs/>
          <w:i w:val="0"/>
          <w:iCs w:val="0"/>
          <w:caps w:val="0"/>
          <w:spacing w:val="0"/>
          <w:sz w:val="24"/>
          <w:szCs w:val="24"/>
          <w:highlight w:val="none"/>
          <w:shd w:val="clear" w:color="auto" w:fill="auto"/>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Cs/>
          <w:sz w:val="24"/>
          <w:highlight w:val="none"/>
        </w:rPr>
        <w:t>本理财计划投资者适</w:t>
      </w:r>
      <w:r>
        <w:rPr>
          <w:rFonts w:hint="eastAsia" w:ascii="宋体" w:hAnsi="宋体" w:cs="宋体"/>
          <w:bCs/>
          <w:sz w:val="24"/>
          <w:highlight w:val="none"/>
          <w:lang w:val="en-US" w:eastAsia="zh-CN"/>
        </w:rPr>
        <w:t>当</w:t>
      </w:r>
      <w:r>
        <w:rPr>
          <w:rFonts w:hint="eastAsia" w:ascii="宋体" w:hAnsi="宋体" w:cs="宋体"/>
          <w:bCs/>
          <w:sz w:val="24"/>
          <w:highlight w:val="none"/>
        </w:rPr>
        <w:t>性评估由销售机构负责，销售机构应确保个人投资者的风险承受能力不低于本理财计划风险评级。</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3"/>
        <w:spacing w:line="360" w:lineRule="auto"/>
        <w:jc w:val="center"/>
        <w:outlineLvl w:val="2"/>
        <w:rPr>
          <w:rFonts w:ascii="宋体" w:hAnsi="宋体" w:cs="宋体"/>
          <w:b/>
          <w:color w:val="auto"/>
          <w:highlight w:val="none"/>
        </w:rPr>
      </w:pPr>
      <w:r>
        <w:rPr>
          <w:rFonts w:hint="eastAsia" w:ascii="宋体" w:hAnsi="宋体" w:cs="宋体"/>
          <w:b/>
          <w:color w:val="auto"/>
          <w:highlight w:val="none"/>
        </w:rPr>
        <w:t>投资者确认栏（个人投资者填写）</w:t>
      </w:r>
    </w:p>
    <w:p>
      <w:pPr>
        <w:pStyle w:val="13"/>
        <w:spacing w:line="360" w:lineRule="auto"/>
        <w:jc w:val="center"/>
        <w:rPr>
          <w:rFonts w:ascii="宋体" w:hAnsi="宋体" w:cs="宋体"/>
          <w:b/>
          <w:color w:val="auto"/>
          <w:highlight w:val="none"/>
        </w:rPr>
      </w:pPr>
    </w:p>
    <w:p>
      <w:pPr>
        <w:pStyle w:val="13"/>
        <w:spacing w:line="360" w:lineRule="auto"/>
        <w:jc w:val="both"/>
        <w:rPr>
          <w:rFonts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声明：本人已经充分阅读本风险揭示书以及《</w:t>
      </w:r>
      <w:r>
        <w:rPr>
          <w:rFonts w:hint="eastAsia" w:ascii="宋体" w:hAnsi="宋体" w:cs="宋体"/>
          <w:b/>
          <w:bCs/>
          <w:highlight w:val="none"/>
          <w:u w:val="single"/>
        </w:rPr>
        <w:t>杭银理财幸福99添益90天周期型理财计划产品说明书</w:t>
      </w:r>
      <w:r>
        <w:rPr>
          <w:rFonts w:hint="eastAsia" w:ascii="宋体" w:hAnsi="宋体" w:cs="宋体"/>
          <w:b/>
          <w:bCs/>
          <w:color w:val="auto"/>
          <w:highlight w:val="none"/>
          <w:u w:val="single"/>
        </w:rPr>
        <w:t>》《投资者权益须知》《理财计划投资协议书》</w:t>
      </w:r>
      <w:r>
        <w:rPr>
          <w:rFonts w:hint="eastAsia" w:ascii="宋体" w:hAnsi="宋体" w:cs="宋体"/>
          <w:b/>
          <w:bCs/>
          <w:color w:val="auto"/>
          <w:highlight w:val="none"/>
          <w:u w:val="single"/>
        </w:rPr>
        <w:t>《理财计划销售协议书》</w:t>
      </w:r>
      <w:r>
        <w:rPr>
          <w:rFonts w:hint="eastAsia" w:ascii="宋体" w:hAnsi="宋体" w:cs="宋体"/>
          <w:b/>
          <w:bCs/>
          <w:color w:val="auto"/>
          <w:highlight w:val="none"/>
          <w:u w:val="single"/>
        </w:rPr>
        <w:t>，并已对其作全面、准确的理解，充分认识到投资本理财计划要求承担的风险，并自愿承担此风险。</w:t>
      </w:r>
    </w:p>
    <w:p>
      <w:pPr>
        <w:pStyle w:val="13"/>
        <w:spacing w:line="360" w:lineRule="auto"/>
        <w:jc w:val="both"/>
        <w:rPr>
          <w:rFonts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p>
    <w:p>
      <w:pPr>
        <w:pStyle w:val="13"/>
        <w:spacing w:line="360" w:lineRule="auto"/>
        <w:jc w:val="both"/>
        <w:rPr>
          <w:rFonts w:ascii="宋体" w:hAnsi="宋体" w:cs="宋体"/>
          <w:color w:val="auto"/>
          <w:highlight w:val="none"/>
          <w:u w:val="single"/>
        </w:rPr>
      </w:pPr>
      <w:r>
        <w:rPr>
          <w:rFonts w:hint="eastAsia" w:ascii="宋体" w:hAnsi="宋体" w:cs="宋体"/>
          <w:color w:val="auto"/>
          <w:highlight w:val="none"/>
        </w:rPr>
        <w:t>本人同时确认如下：</w:t>
      </w:r>
    </w:p>
    <w:p>
      <w:pPr>
        <w:pStyle w:val="13"/>
        <w:spacing w:line="360" w:lineRule="auto"/>
        <w:jc w:val="both"/>
        <w:rPr>
          <w:rFonts w:ascii="宋体" w:hAnsi="宋体" w:cs="宋体"/>
          <w:color w:val="auto"/>
          <w:highlight w:val="none"/>
        </w:rPr>
      </w:pPr>
    </w:p>
    <w:p>
      <w:pPr>
        <w:spacing w:line="360" w:lineRule="auto"/>
        <w:rPr>
          <w:rFonts w:ascii="宋体" w:hAnsi="宋体" w:cs="宋体"/>
          <w:kern w:val="0"/>
          <w:sz w:val="24"/>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确认人（签字）：                            日期：   年   月   日</w:t>
      </w: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360" w:lineRule="auto"/>
        <w:jc w:val="center"/>
        <w:rPr>
          <w:rFonts w:ascii="宋体" w:hAnsi="宋体"/>
          <w:b/>
          <w:kern w:val="0"/>
          <w:szCs w:val="21"/>
          <w:highlight w:val="none"/>
        </w:rPr>
      </w:pPr>
    </w:p>
    <w:p>
      <w:pPr>
        <w:pStyle w:val="13"/>
        <w:spacing w:line="360" w:lineRule="auto"/>
        <w:jc w:val="center"/>
        <w:outlineLvl w:val="2"/>
        <w:rPr>
          <w:rFonts w:ascii="宋体" w:hAnsi="宋体" w:cs="宋体"/>
          <w:b/>
          <w:highlight w:val="none"/>
        </w:rPr>
      </w:pPr>
      <w:r>
        <w:rPr>
          <w:rFonts w:hint="eastAsia" w:ascii="宋体" w:hAnsi="宋体" w:cs="宋体"/>
          <w:b/>
          <w:color w:val="auto"/>
          <w:highlight w:val="none"/>
        </w:rPr>
        <w:t>投资者确认栏（机构投资者）</w:t>
      </w:r>
    </w:p>
    <w:p>
      <w:pPr>
        <w:pStyle w:val="13"/>
        <w:spacing w:line="360" w:lineRule="auto"/>
        <w:jc w:val="center"/>
        <w:rPr>
          <w:rFonts w:ascii="宋体" w:hAnsi="宋体" w:cs="宋体"/>
          <w:b/>
          <w:highlight w:val="none"/>
        </w:rPr>
      </w:pPr>
    </w:p>
    <w:p>
      <w:pPr>
        <w:widowControl/>
        <w:spacing w:line="360" w:lineRule="auto"/>
        <w:ind w:firstLine="482" w:firstLineChars="200"/>
        <w:contextualSpacing/>
        <w:jc w:val="left"/>
        <w:outlineLvl w:val="9"/>
        <w:rPr>
          <w:rFonts w:ascii="宋体" w:hAnsi="宋体" w:cs="宋体"/>
          <w:b/>
          <w:bCs/>
          <w:sz w:val="24"/>
          <w:highlight w:val="none"/>
        </w:rPr>
      </w:pPr>
      <w:r>
        <w:rPr>
          <w:rFonts w:hint="eastAsia" w:ascii="宋体" w:hAnsi="宋体" w:cs="宋体"/>
          <w:b/>
          <w:bCs/>
          <w:sz w:val="24"/>
          <w:highlight w:val="none"/>
        </w:rPr>
        <w:t>声明：我单位已充分阅读本风险揭示书以及《杭银理财幸福99添益90天周期型理财计划产品说明书》《投资者权益须知》《理财计划投资协议书》</w:t>
      </w:r>
      <w:r>
        <w:rPr>
          <w:rFonts w:hint="eastAsia" w:ascii="宋体" w:hAnsi="宋体" w:cs="宋体"/>
          <w:b/>
          <w:bCs/>
          <w:sz w:val="24"/>
          <w:highlight w:val="none"/>
          <w:u w:val="none"/>
        </w:rPr>
        <w:t>《理财计划销售协议书》</w:t>
      </w:r>
      <w:r>
        <w:rPr>
          <w:rFonts w:hint="eastAsia" w:ascii="宋体" w:hAnsi="宋体" w:cs="宋体"/>
          <w:b/>
          <w:bCs/>
          <w:sz w:val="24"/>
          <w:highlight w:val="none"/>
        </w:rPr>
        <w:t>，并已对其作全面、准确的理解，充分认识到投资本理财计划要求承担的风险，并自愿承担此风险。</w:t>
      </w: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投资者（公章）                          法定代表人（签章）或授权代理人</w:t>
      </w: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 xml:space="preserve">                                            日期：   年   月   日</w:t>
      </w:r>
    </w:p>
    <w:p>
      <w:pPr>
        <w:spacing w:line="360" w:lineRule="auto"/>
        <w:ind w:firstLine="480" w:firstLineChars="200"/>
        <w:jc w:val="right"/>
        <w:rPr>
          <w:rFonts w:ascii="宋体" w:hAnsi="宋体" w:cs="宋体"/>
          <w:bCs/>
          <w:sz w:val="2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both"/>
        <w:rPr>
          <w:rFonts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杭银理财幸福99添益90天周期型理财计划产品说明书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（202101版）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〖Z7002221000108〗</w:t>
      </w:r>
    </w:p>
    <w:p>
      <w:pPr>
        <w:spacing w:line="360" w:lineRule="auto"/>
        <w:jc w:val="center"/>
        <w:rPr>
          <w:rFonts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本理财计划不等同于银行存款和预期收益型理财产品或其他产品。</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本理财计划主要风险为理财本金及收益风险，在一定市场情况下，投资者将损失本金，请投资者基于自身的独立判断进行投资决策。</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购买决定。本说明书及投资者签署的《理财计划投资协议书》《风险揭示书》《投资者权益须知》</w:t>
      </w:r>
      <w:r>
        <w:rPr>
          <w:rFonts w:hint="eastAsia" w:ascii="宋体" w:hAnsi="宋体" w:cs="宋体"/>
          <w:bCs/>
          <w:sz w:val="24"/>
          <w:highlight w:val="none"/>
          <w:u w:val="none"/>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反恐怖融资及非居民金融账户涉税、反欺诈活动，真实、准确提供相关身份与资金来源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指包含但不限于指杭州银行股份有限公司等其他银行业金融机构或者银行保险监督管理委员会规定的其他机构，可代为办理理财产品销售业务。杭州银行股份有限公司简称杭州银行，官方网站为</w:t>
      </w:r>
      <w:r>
        <w:rPr>
          <w:highlight w:val="none"/>
        </w:rPr>
        <w:fldChar w:fldCharType="begin"/>
      </w:r>
      <w:r>
        <w:rPr>
          <w:highlight w:val="none"/>
        </w:rPr>
        <w:instrText xml:space="preserve"> HYPERLINK "http://www.hzbank.com.cn" </w:instrText>
      </w:r>
      <w:r>
        <w:rPr>
          <w:highlight w:val="none"/>
        </w:rP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指《杭银理财幸福99添益90天周期型</w:t>
      </w:r>
      <w:r>
        <w:rPr>
          <w:rFonts w:hint="eastAsia" w:ascii="宋体" w:hAnsi="宋体" w:cs="宋体"/>
          <w:bCs/>
          <w:highlight w:val="none"/>
        </w:rPr>
        <w:t>理财计划产品说明书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添益90天周期型理财计划合同不可分割组成部分的理财计划投资协议书，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ind w:left="0" w:firstLine="0"/>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理财计划合同不可分割组成部分的理财计划销售协议书，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w:t>
      </w:r>
      <w:r>
        <w:rPr>
          <w:rFonts w:hint="eastAsia" w:ascii="宋体" w:hAnsi="宋体" w:cs="宋体"/>
          <w:bCs/>
          <w:color w:val="auto"/>
          <w:kern w:val="2"/>
          <w:highlight w:val="none"/>
        </w:rPr>
        <w:t>《理财计划销售协议书》五</w:t>
      </w:r>
      <w:r>
        <w:rPr>
          <w:rFonts w:hint="eastAsia" w:ascii="宋体" w:hAnsi="宋体" w:cs="宋体"/>
          <w:bCs/>
          <w:color w:val="auto"/>
          <w:kern w:val="2"/>
          <w:highlight w:val="none"/>
        </w:rPr>
        <w:t>个部分。</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添益90天周期型理财计划。</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rPr>
        <w:t>成立后，理财计划不接受投资者申购赎回的时间。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w:t>
      </w:r>
      <w:r>
        <w:rPr>
          <w:rFonts w:hint="eastAsia" w:ascii="宋体" w:hAnsi="宋体" w:cs="宋体"/>
          <w:bCs/>
          <w:kern w:val="2"/>
          <w:highlight w:val="none"/>
        </w:rPr>
        <w:t>理财计划管理人</w:t>
      </w:r>
      <w:r>
        <w:rPr>
          <w:rFonts w:hint="eastAsia" w:ascii="宋体" w:hAnsi="宋体" w:cs="宋体"/>
          <w:kern w:val="2"/>
          <w:highlight w:val="none"/>
        </w:rPr>
        <w:t>使理财计划投资组合比例符合合同的有关约定所需要的时间段</w:t>
      </w:r>
      <w:r>
        <w:rPr>
          <w:rFonts w:hint="eastAsia" w:ascii="宋体" w:hAnsi="宋体" w:cs="宋体"/>
          <w:bCs/>
          <w:color w:val="auto"/>
          <w:kern w:val="2"/>
          <w:highlight w:val="none"/>
        </w:rPr>
        <w:t>。</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及确认日等日期安排发生变化的，原则上采用顺延方式对原定日期进行调整，如有特殊安排，以管理人对外披露的公告为准。</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指管理人在满足收益分配基准日理财计划份额净值大于1元的情况下，定期或不定期将大于1元部分的收益进行分配的行为。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指管理人为成立理财计划及处理理财计划事务而支出的所有费用，包括但不限于固定管理费、浮动管理费、</w:t>
      </w:r>
      <w:r>
        <w:rPr>
          <w:rFonts w:hint="eastAsia" w:ascii="宋体" w:hAnsi="宋体" w:cs="宋体"/>
          <w:bCs/>
          <w:highlight w:val="none"/>
          <w:lang w:eastAsia="zh-CN"/>
        </w:rPr>
        <w:t>销售服务费</w:t>
      </w:r>
      <w:r>
        <w:rPr>
          <w:rFonts w:hint="eastAsia" w:ascii="宋体" w:hAnsi="宋体" w:cs="宋体"/>
          <w:bCs/>
          <w:highlight w:val="none"/>
        </w:rPr>
        <w:t>、托管费、交易费用、执行费用等相关费用，具体以实际发生为准。</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w:t>
      </w:r>
      <w:r>
        <w:rPr>
          <w:rFonts w:hint="eastAsia" w:ascii="宋体" w:hAnsi="宋体" w:cs="宋体"/>
          <w:bCs/>
          <w:kern w:val="2"/>
          <w:highlight w:val="none"/>
        </w:rPr>
        <w:t>和负债的价值，</w:t>
      </w:r>
      <w:r>
        <w:rPr>
          <w:rFonts w:hint="eastAsia" w:ascii="宋体" w:hAnsi="宋体" w:cs="宋体"/>
          <w:bCs/>
          <w:highlight w:val="none"/>
        </w:rPr>
        <w:t>以确定理财计划份额净值的过程。</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w:t>
      </w:r>
      <w:r>
        <w:rPr>
          <w:rFonts w:hint="eastAsia" w:ascii="宋体" w:hAnsi="宋体" w:cs="宋体"/>
          <w:bCs/>
          <w:kern w:val="2"/>
          <w:highlight w:val="none"/>
        </w:rPr>
        <w:t>到期或分红时</w:t>
      </w:r>
      <w:r>
        <w:rPr>
          <w:rFonts w:hint="eastAsia" w:ascii="宋体" w:hAnsi="宋体" w:cs="宋体"/>
          <w:bCs/>
          <w:color w:val="auto"/>
          <w:kern w:val="2"/>
          <w:highlight w:val="none"/>
        </w:rPr>
        <w:t>返还本金或收益的银行账户。</w:t>
      </w:r>
    </w:p>
    <w:p>
      <w:pPr>
        <w:pStyle w:val="13"/>
        <w:adjustRightInd/>
        <w:spacing w:line="360" w:lineRule="auto"/>
        <w:ind w:firstLine="482" w:firstLineChars="200"/>
        <w:rPr>
          <w:rFonts w:hint="eastAsia"/>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0</w:t>
      </w:r>
      <w:r>
        <w:rPr>
          <w:rFonts w:hint="eastAsia" w:ascii="宋体" w:hAnsi="宋体" w:cs="宋体"/>
          <w:b/>
          <w:color w:val="auto"/>
          <w:kern w:val="2"/>
          <w:highlight w:val="none"/>
        </w:rPr>
        <w:t>.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0"/>
        </w:numPr>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1</w:t>
      </w:r>
      <w:r>
        <w:rPr>
          <w:rFonts w:hint="eastAsia" w:ascii="宋体" w:hAnsi="宋体" w:cs="宋体"/>
          <w:b/>
          <w:color w:val="auto"/>
          <w:kern w:val="2"/>
          <w:highlight w:val="none"/>
        </w:rPr>
        <w:t>.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巨额赎回：指理财计划的申购和赎回开放期内，理财计划任一开放日净赎回申请份额超过上一确认日日终理财计划总份额的〖10%〗，即为发生巨额赎回行为。</w:t>
      </w:r>
    </w:p>
    <w:p>
      <w:pPr>
        <w:pStyle w:val="13"/>
        <w:adjustRightInd/>
        <w:spacing w:line="360" w:lineRule="auto"/>
        <w:rPr>
          <w:rFonts w:ascii="宋体" w:hAnsi="宋体" w:cs="宋体"/>
          <w:bCs/>
          <w:color w:val="auto"/>
          <w:kern w:val="2"/>
          <w:highlight w:val="none"/>
        </w:rPr>
      </w:pPr>
    </w:p>
    <w:p>
      <w:pPr>
        <w:pStyle w:val="13"/>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8"/>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内部风险评级</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风险程度</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R1</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低</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kern w:val="2"/>
                <w:sz w:val="21"/>
                <w:szCs w:val="21"/>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ascii="宋体" w:hAnsi="宋体" w:cs="宋体"/>
                <w:b/>
                <w:color w:val="auto"/>
                <w:kern w:val="2"/>
                <w:sz w:val="21"/>
                <w:szCs w:val="21"/>
                <w:highlight w:val="none"/>
              </w:rPr>
              <w:t>R2</w:t>
            </w:r>
          </w:p>
        </w:tc>
        <w:tc>
          <w:tcPr>
            <w:tcW w:w="1746"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中低</w:t>
            </w:r>
          </w:p>
        </w:tc>
        <w:tc>
          <w:tcPr>
            <w:tcW w:w="5064"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稳健型</w:t>
            </w:r>
            <w:r>
              <w:rPr>
                <w:rFonts w:hint="eastAsia" w:ascii="宋体" w:hAnsi="宋体" w:cs="宋体"/>
                <w:b/>
                <w:kern w:val="2"/>
                <w:sz w:val="21"/>
                <w:szCs w:val="21"/>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R3</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平衡型</w:t>
            </w:r>
            <w:r>
              <w:rPr>
                <w:rFonts w:hint="eastAsia" w:ascii="宋体" w:hAnsi="宋体" w:cs="宋体"/>
                <w:bCs/>
                <w:kern w:val="2"/>
                <w:sz w:val="21"/>
                <w:szCs w:val="21"/>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R4</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中高</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成长型</w:t>
            </w:r>
            <w:r>
              <w:rPr>
                <w:rFonts w:hint="eastAsia" w:ascii="宋体" w:hAnsi="宋体" w:cs="宋体"/>
                <w:bCs/>
                <w:kern w:val="2"/>
                <w:sz w:val="21"/>
                <w:szCs w:val="21"/>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R5</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高</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进取型</w:t>
            </w:r>
          </w:p>
        </w:tc>
      </w:tr>
    </w:tbl>
    <w:p>
      <w:pPr>
        <w:pStyle w:val="13"/>
        <w:adjustRightInd/>
        <w:spacing w:line="360" w:lineRule="auto"/>
        <w:rPr>
          <w:rFonts w:ascii="宋体" w:hAnsi="宋体" w:cs="宋体"/>
          <w:b/>
          <w:color w:val="auto"/>
          <w:kern w:val="2"/>
          <w:highlight w:val="none"/>
        </w:rPr>
      </w:pPr>
    </w:p>
    <w:p>
      <w:pPr>
        <w:pStyle w:val="13"/>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杭银理财幸福99添益90天周期型理财计划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〖TYG90D2101〗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w:t>
            </w:r>
            <w:r>
              <w:rPr>
                <w:rFonts w:hint="eastAsia" w:ascii="宋体" w:hAnsi="宋体" w:cs="宋体"/>
                <w:szCs w:val="21"/>
                <w:highlight w:val="none"/>
              </w:rPr>
              <w:t>Z7002221000108</w:t>
            </w:r>
            <w:r>
              <w:rPr>
                <w:rFonts w:hint="eastAsia" w:ascii="宋体" w:hAnsi="宋体" w:cs="宋体"/>
                <w:color w:val="000000"/>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024" w:type="dxa"/>
            <w:noWrap w:val="0"/>
            <w:vAlign w:val="center"/>
          </w:tcPr>
          <w:p>
            <w:pPr>
              <w:widowControl/>
              <w:spacing w:line="360" w:lineRule="auto"/>
              <w:contextualSpacing/>
              <w:rPr>
                <w:rFonts w:hint="eastAsia" w:ascii="宋体" w:hAnsi="宋体" w:cs="宋体"/>
                <w:b/>
                <w:color w:val="000000"/>
                <w:szCs w:val="21"/>
                <w:highlight w:val="none"/>
              </w:rPr>
            </w:pPr>
            <w:r>
              <w:rPr>
                <w:rFonts w:hint="eastAsia" w:ascii="宋体" w:hAnsi="宋体" w:cs="宋体"/>
                <w:color w:val="000000"/>
                <w:szCs w:val="21"/>
                <w:highlight w:val="none"/>
              </w:rPr>
              <w:t>本理财计划适合</w:t>
            </w:r>
            <w:r>
              <w:rPr>
                <w:rFonts w:hint="eastAsia" w:ascii="宋体" w:hAnsi="宋体" w:cs="宋体"/>
                <w:b/>
                <w:szCs w:val="21"/>
                <w:highlight w:val="none"/>
              </w:rPr>
              <w:t>〖</w:t>
            </w:r>
            <w:r>
              <w:rPr>
                <w:rFonts w:hint="eastAsia" w:ascii="宋体" w:hAnsi="宋体" w:cs="宋体"/>
                <w:b/>
                <w:color w:val="000000"/>
                <w:szCs w:val="21"/>
                <w:highlight w:val="none"/>
              </w:rPr>
              <w:t>机构投资者</w:t>
            </w:r>
            <w:r>
              <w:rPr>
                <w:rFonts w:hint="eastAsia" w:ascii="宋体" w:hAnsi="宋体" w:cs="宋体"/>
                <w:b/>
                <w:szCs w:val="21"/>
                <w:highlight w:val="none"/>
              </w:rPr>
              <w:t>〗</w:t>
            </w:r>
            <w:r>
              <w:rPr>
                <w:rFonts w:hint="eastAsia" w:ascii="宋体" w:hAnsi="宋体" w:cs="宋体"/>
                <w:b/>
                <w:color w:val="000000"/>
                <w:szCs w:val="21"/>
                <w:highlight w:val="none"/>
              </w:rPr>
              <w:t>以及</w:t>
            </w:r>
            <w:r>
              <w:rPr>
                <w:rFonts w:hint="eastAsia" w:ascii="宋体" w:hAnsi="宋体" w:cs="宋体"/>
                <w:b/>
                <w:szCs w:val="21"/>
                <w:highlight w:val="none"/>
              </w:rPr>
              <w:t>〖稳健型、平衡型、成长型、进取型〗</w:t>
            </w:r>
            <w:r>
              <w:rPr>
                <w:rFonts w:hint="eastAsia" w:ascii="宋体" w:hAnsi="宋体" w:cs="宋体"/>
                <w:b/>
                <w:color w:val="000000"/>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Cs w:val="21"/>
                <w:highlight w:val="none"/>
                <w:lang w:val="en-US" w:eastAsia="zh-CN"/>
              </w:rPr>
            </w:pPr>
            <w:r>
              <w:rPr>
                <w:rFonts w:hint="eastAsia" w:ascii="宋体" w:hAnsi="宋体" w:cs="宋体"/>
                <w:b w:val="0"/>
                <w:bCs/>
                <w:color w:val="000000"/>
                <w:szCs w:val="21"/>
                <w:highlight w:val="none"/>
                <w:lang w:val="en-US"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TYG90D2101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 w:val="0"/>
                <w:bCs/>
                <w:color w:val="000000"/>
                <w:sz w:val="21"/>
                <w:szCs w:val="21"/>
                <w:highlight w:val="none"/>
                <w:lang w:val="en-US" w:eastAsia="zh-CN"/>
              </w:rPr>
              <w:t>（销售代码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TYG90D2101P</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分级产品</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024" w:type="dxa"/>
            <w:noWrap w:val="0"/>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Cs w:val="21"/>
                <w:highlight w:val="none"/>
                <w:lang w:eastAsia="zh-CN"/>
              </w:rPr>
              <w:t>，通过</w:t>
            </w:r>
            <w:r>
              <w:rPr>
                <w:rFonts w:hint="eastAsia" w:ascii="宋体" w:hAnsi="宋体" w:cs="宋体"/>
                <w:color w:val="000000"/>
                <w:szCs w:val="21"/>
                <w:highlight w:val="none"/>
                <w:lang w:val="en-US" w:eastAsia="zh-CN"/>
              </w:rPr>
              <w:t>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发行规模下限为</w:t>
            </w:r>
            <w:r>
              <w:rPr>
                <w:rFonts w:hint="eastAsia" w:ascii="宋体" w:hAnsi="宋体"/>
                <w:color w:val="000000"/>
                <w:szCs w:val="21"/>
                <w:highlight w:val="none"/>
              </w:rPr>
              <w:t>〖0.2〗</w:t>
            </w:r>
            <w:r>
              <w:rPr>
                <w:rFonts w:hint="eastAsia" w:ascii="宋体" w:hAnsi="宋体" w:cs="宋体"/>
                <w:color w:val="000000"/>
                <w:szCs w:val="21"/>
                <w:highlight w:val="none"/>
              </w:rPr>
              <w:t>亿元</w:t>
            </w:r>
            <w:r>
              <w:rPr>
                <w:rFonts w:hint="eastAsia" w:ascii="宋体" w:hAnsi="宋体" w:cs="宋体"/>
                <w:color w:val="000000"/>
                <w:kern w:val="0"/>
                <w:highlight w:val="none"/>
              </w:rPr>
              <w:t>，</w:t>
            </w:r>
            <w:r>
              <w:rPr>
                <w:rFonts w:hint="eastAsia" w:ascii="宋体" w:hAnsi="宋体" w:cs="宋体"/>
                <w:color w:val="000000"/>
                <w:szCs w:val="21"/>
                <w:highlight w:val="none"/>
              </w:rPr>
              <w:t>若认购金额未达到规模下限则管理人有权决定产品不成立。</w:t>
            </w:r>
            <w:r>
              <w:rPr>
                <w:rFonts w:hint="eastAsia" w:ascii="宋体" w:hAnsi="宋体" w:cs="宋体"/>
                <w:color w:val="000000"/>
                <w:kern w:val="0"/>
                <w:highlight w:val="none"/>
              </w:rPr>
              <w:t>产品规模上限为</w:t>
            </w:r>
            <w:r>
              <w:rPr>
                <w:rFonts w:hint="eastAsia" w:ascii="宋体" w:hAnsi="宋体"/>
                <w:color w:val="000000"/>
                <w:szCs w:val="21"/>
                <w:highlight w:val="none"/>
              </w:rPr>
              <w:t>〖2</w:t>
            </w:r>
            <w:r>
              <w:rPr>
                <w:rFonts w:hint="eastAsia" w:ascii="宋体" w:hAnsi="宋体"/>
                <w:color w:val="000000"/>
                <w:szCs w:val="21"/>
                <w:highlight w:val="none"/>
                <w:lang w:val="en-US" w:eastAsia="zh-CN"/>
              </w:rPr>
              <w:t>5</w:t>
            </w:r>
            <w:r>
              <w:rPr>
                <w:rFonts w:hint="eastAsia" w:ascii="宋体" w:hAnsi="宋体"/>
                <w:color w:val="000000"/>
                <w:szCs w:val="21"/>
                <w:highlight w:val="none"/>
              </w:rPr>
              <w:t>0〗</w:t>
            </w:r>
            <w:r>
              <w:rPr>
                <w:rFonts w:hint="eastAsia" w:ascii="宋体" w:hAnsi="宋体" w:cs="宋体"/>
                <w:color w:val="000000"/>
                <w:kern w:val="0"/>
                <w:highlight w:val="none"/>
              </w:rPr>
              <w:t>亿元，</w:t>
            </w:r>
            <w:r>
              <w:rPr>
                <w:rFonts w:hint="eastAsia" w:ascii="宋体" w:hAnsi="宋体" w:cs="宋体"/>
                <w:color w:val="000000"/>
                <w:szCs w:val="21"/>
                <w:highlight w:val="none"/>
              </w:rPr>
              <w:t>若认购或申购金额超过规模上限，则管理人有权暂停接受认购或申购申请。</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管理人有权根据市场情况或理财计划实际投资运作的情况调整理财计划规模上限，</w:t>
            </w:r>
            <w:r>
              <w:rPr>
                <w:rFonts w:hint="eastAsia" w:ascii="宋体" w:hAnsi="宋体" w:cs="宋体"/>
                <w:szCs w:val="21"/>
                <w:highlight w:val="none"/>
              </w:rPr>
              <w:t>并至少于调整前</w:t>
            </w:r>
            <w:r>
              <w:rPr>
                <w:rFonts w:hint="eastAsia" w:ascii="宋体" w:hAnsi="宋体" w:cs="宋体"/>
                <w:kern w:val="0"/>
                <w:highlight w:val="none"/>
              </w:rPr>
              <w:t>〖3〗</w:t>
            </w:r>
            <w:r>
              <w:rPr>
                <w:rFonts w:hint="eastAsia" w:ascii="宋体" w:hAnsi="宋体" w:cs="宋体"/>
                <w:szCs w:val="21"/>
                <w:highlight w:val="none"/>
              </w:rPr>
              <w:t>个工作日公告。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〖2021〗年〖7〗月〖30〗日-〖2021〗年〖8〗月〖4〗日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封闭期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〖2021〗年〖8〗月〖5〗日-〖2021〗年〖8〗月〖18〗日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024"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〖2000〗</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申购开放期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本理财计划申购开放期为</w:t>
            </w:r>
            <w:r>
              <w:rPr>
                <w:rFonts w:hint="eastAsia" w:ascii="宋体" w:hAnsi="宋体" w:cs="宋体"/>
                <w:szCs w:val="21"/>
                <w:highlight w:val="none"/>
              </w:rPr>
              <w:t>〖封闭期后的每个交易日〗,</w:t>
            </w:r>
            <w:r>
              <w:rPr>
                <w:rFonts w:hint="eastAsia" w:ascii="宋体" w:hAnsi="宋体" w:cs="宋体"/>
                <w:color w:val="000000"/>
                <w:kern w:val="0"/>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投资周期</w:t>
            </w:r>
          </w:p>
        </w:tc>
        <w:tc>
          <w:tcPr>
            <w:tcW w:w="7024" w:type="dxa"/>
            <w:noWrap w:val="0"/>
            <w:vAlign w:val="center"/>
          </w:tcPr>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本理财计划的单个投资周期一般为90天。每笔份额的单个投资周期的起始日为成立日或申购确认日或上个投资周期结束日的</w:t>
            </w:r>
            <w:r>
              <w:rPr>
                <w:rFonts w:ascii="宋体" w:hAnsi="宋体" w:cs="宋体"/>
                <w:color w:val="000000"/>
                <w:szCs w:val="21"/>
                <w:highlight w:val="none"/>
              </w:rPr>
              <w:t>次日</w:t>
            </w:r>
            <w:r>
              <w:rPr>
                <w:rFonts w:hint="eastAsia" w:ascii="宋体" w:hAnsi="宋体" w:cs="宋体"/>
                <w:color w:val="000000"/>
                <w:szCs w:val="21"/>
                <w:highlight w:val="none"/>
              </w:rPr>
              <w:t>，自起始日起每90天为一个投资周期。投资者可就每笔份额持有单个或多个投资周期。</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如产品终止时投资者持有份额的天数小于单个投资周期，则该笔份额的投资周期天数按实际持有天数计算。</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赎回规定</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1.到期方式选择</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2.到期方式修改</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在每笔份额存续</w:t>
            </w:r>
            <w:r>
              <w:rPr>
                <w:rFonts w:hint="eastAsia" w:ascii="宋体" w:hAnsi="宋体" w:cs="宋体"/>
                <w:color w:val="000000"/>
                <w:szCs w:val="21"/>
                <w:highlight w:val="none"/>
                <w:lang w:val="en-US" w:eastAsia="zh-CN"/>
              </w:rPr>
              <w:t>期间，投资者可以修改当前投资周期的到期方式，</w:t>
            </w:r>
            <w:r>
              <w:rPr>
                <w:rFonts w:hint="eastAsia" w:ascii="宋体" w:hAnsi="宋体" w:cs="宋体"/>
                <w:color w:val="000000"/>
                <w:szCs w:val="21"/>
                <w:highlight w:val="none"/>
              </w:rPr>
              <w:t>当前投资周期结束日前2个交易日</w:t>
            </w:r>
            <w:r>
              <w:rPr>
                <w:rFonts w:hint="eastAsia" w:ascii="宋体" w:hAnsi="宋体" w:cs="宋体"/>
                <w:color w:val="000000"/>
                <w:szCs w:val="21"/>
                <w:highlight w:val="none"/>
                <w:lang w:val="en-US" w:eastAsia="zh-CN"/>
              </w:rPr>
              <w:t>至该周期结束日（含）除外</w:t>
            </w:r>
            <w:r>
              <w:rPr>
                <w:rFonts w:hint="eastAsia" w:ascii="宋体" w:hAnsi="宋体" w:cs="宋体"/>
                <w:color w:val="000000"/>
                <w:szCs w:val="21"/>
                <w:highlight w:val="none"/>
              </w:rPr>
              <w:t>。</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3.赎回确认</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赎回份额将于</w:t>
            </w:r>
            <w:r>
              <w:rPr>
                <w:rFonts w:hint="eastAsia" w:ascii="宋体" w:hAnsi="宋体" w:cs="宋体"/>
                <w:color w:val="000000"/>
                <w:szCs w:val="21"/>
                <w:highlight w:val="none"/>
              </w:rPr>
              <w:t>赎回确认日确认，赎回确认日为投资者选择“自动赎回”方式当期投资周期结束日的下一个交易日。</w:t>
            </w:r>
          </w:p>
          <w:p>
            <w:pPr>
              <w:widowControl/>
              <w:spacing w:line="360" w:lineRule="auto"/>
              <w:jc w:val="left"/>
              <w:rPr>
                <w:rFonts w:ascii="宋体" w:hAnsi="宋体" w:cs="宋体"/>
                <w:bCs/>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回份额×赎回确认日前一日</w:t>
            </w:r>
            <w:r>
              <w:rPr>
                <w:rFonts w:hint="eastAsia" w:ascii="宋体" w:hAnsi="宋体" w:cs="宋体"/>
                <w:color w:val="000000"/>
                <w:szCs w:val="21"/>
                <w:highlight w:val="none"/>
              </w:rPr>
              <w:t>的单位净</w:t>
            </w:r>
            <w:r>
              <w:rPr>
                <w:rFonts w:hint="eastAsia" w:ascii="宋体" w:hAnsi="宋体" w:cs="宋体"/>
                <w:bCs/>
                <w:szCs w:val="21"/>
                <w:highlight w:val="none"/>
              </w:rPr>
              <w:t>值。</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1.本理财计划在</w:t>
            </w:r>
            <w:r>
              <w:rPr>
                <w:rFonts w:hint="eastAsia" w:ascii="宋体" w:hAnsi="宋体" w:cs="宋体"/>
                <w:color w:val="000000"/>
                <w:kern w:val="0"/>
                <w:highlight w:val="none"/>
              </w:rPr>
              <w:t>认购时间内均可进行认购或撤单。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2.本理财计划在申购开放期的工作时间内均可进行申购或撤单。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3.本理财计划的工作时间为每个交易日的上午〖9:00〗至下午〖17:00〗。</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理财计划存续期内，若理财计划开放期净赎回申请份额超过上一确认日日终理财计划总份额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024" w:type="dxa"/>
            <w:noWrap w:val="0"/>
            <w:vAlign w:val="center"/>
          </w:tcPr>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P份额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申购份额=申购金额/申购确认日前一日的单位净值。申购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w:t>
            </w:r>
            <w:r>
              <w:rPr>
                <w:rFonts w:hint="eastAsia" w:ascii="宋体" w:hAnsi="宋体" w:cs="宋体"/>
                <w:color w:val="000000"/>
                <w:szCs w:val="21"/>
                <w:highlight w:val="none"/>
                <w:lang w:val="en-US" w:eastAsia="zh-CN"/>
              </w:rPr>
              <w:t>后六位，六位后去尾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024" w:type="dxa"/>
            <w:noWrap w:val="0"/>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024" w:type="dxa"/>
            <w:noWrap w:val="0"/>
            <w:vAlign w:val="center"/>
          </w:tcPr>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85</w:t>
            </w:r>
            <w:r>
              <w:rPr>
                <w:rFonts w:hint="eastAsia" w:ascii="宋体" w:hAnsi="宋体" w:cs="宋体"/>
                <w:szCs w:val="21"/>
                <w:highlight w:val="none"/>
              </w:rPr>
              <w:t>%-</w:t>
            </w:r>
            <w:r>
              <w:rPr>
                <w:rFonts w:hint="eastAsia" w:ascii="宋体" w:hAnsi="宋体" w:cs="宋体"/>
                <w:szCs w:val="21"/>
                <w:highlight w:val="none"/>
                <w:lang w:val="en-US" w:eastAsia="zh-CN"/>
              </w:rPr>
              <w:t>2.55</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1.95</w:t>
            </w:r>
            <w:r>
              <w:rPr>
                <w:rFonts w:hint="eastAsia" w:ascii="宋体" w:hAnsi="宋体" w:cs="宋体"/>
                <w:szCs w:val="21"/>
                <w:highlight w:val="none"/>
              </w:rPr>
              <w:t>%-</w:t>
            </w:r>
            <w:r>
              <w:rPr>
                <w:rFonts w:hint="eastAsia" w:ascii="宋体" w:hAnsi="宋体" w:cs="宋体"/>
                <w:szCs w:val="21"/>
                <w:highlight w:val="none"/>
                <w:lang w:val="en-US" w:eastAsia="zh-CN"/>
              </w:rPr>
              <w:t>2.65</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2.25</w:t>
            </w:r>
            <w:r>
              <w:rPr>
                <w:rFonts w:hint="eastAsia" w:ascii="宋体" w:hAnsi="宋体" w:cs="宋体"/>
                <w:szCs w:val="21"/>
                <w:highlight w:val="none"/>
              </w:rPr>
              <w:t>%-</w:t>
            </w:r>
            <w:r>
              <w:rPr>
                <w:rFonts w:hint="eastAsia" w:ascii="宋体" w:hAnsi="宋体" w:cs="宋体"/>
                <w:szCs w:val="21"/>
                <w:highlight w:val="none"/>
                <w:lang w:val="en-US" w:eastAsia="zh-CN"/>
              </w:rPr>
              <w:t>2.95</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lang w:eastAsia="zh-CN"/>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1.85</w:t>
            </w:r>
            <w:r>
              <w:rPr>
                <w:rFonts w:hint="eastAsia" w:ascii="宋体" w:hAnsi="宋体" w:cs="宋体"/>
                <w:szCs w:val="21"/>
                <w:highlight w:val="none"/>
              </w:rPr>
              <w:t>%-</w:t>
            </w:r>
            <w:r>
              <w:rPr>
                <w:rFonts w:hint="eastAsia" w:ascii="宋体" w:hAnsi="宋体" w:cs="宋体"/>
                <w:szCs w:val="21"/>
                <w:highlight w:val="none"/>
                <w:lang w:val="en-US" w:eastAsia="zh-CN"/>
              </w:rPr>
              <w:t>2.55</w:t>
            </w:r>
            <w:r>
              <w:rPr>
                <w:rFonts w:hint="eastAsia" w:ascii="宋体" w:hAnsi="宋体" w:cs="宋体"/>
                <w:szCs w:val="21"/>
                <w:highlight w:val="none"/>
              </w:rPr>
              <w:t>%〗（年化）。</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业绩基准测算依据：产品重点投资于信用债、同业存单等资产，根据当前市场环境，预投资产收益率平均在</w:t>
            </w:r>
            <w:r>
              <w:rPr>
                <w:rFonts w:hint="eastAsia" w:ascii="宋体" w:hAnsi="宋体" w:cs="宋体"/>
                <w:b/>
                <w:bCs/>
                <w:szCs w:val="21"/>
                <w:highlight w:val="none"/>
                <w:lang w:val="en-US" w:eastAsia="zh-CN"/>
              </w:rPr>
              <w:t>1.55%-3.05</w:t>
            </w:r>
            <w:r>
              <w:rPr>
                <w:rFonts w:hint="eastAsia" w:ascii="宋体" w:hAnsi="宋体" w:cs="宋体"/>
                <w:b/>
                <w:bCs/>
                <w:szCs w:val="21"/>
                <w:highlight w:val="none"/>
              </w:rPr>
              <w:t>%</w:t>
            </w:r>
            <w:r>
              <w:rPr>
                <w:rFonts w:hint="eastAsia" w:ascii="宋体" w:hAnsi="宋体" w:cs="宋体"/>
                <w:b/>
                <w:bCs/>
                <w:szCs w:val="21"/>
                <w:highlight w:val="none"/>
              </w:rPr>
              <w:t>左右，同时根据流动性管理需要和监管要求配置不低于5%的高流动性资产。综合来看，扣除相关税费成本后</w:t>
            </w:r>
            <w:r>
              <w:rPr>
                <w:rFonts w:hint="eastAsia" w:ascii="宋体" w:hAnsi="宋体" w:cs="宋体"/>
                <w:b/>
                <w:bCs/>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1.85%</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b/>
                <w:bCs/>
                <w:sz w:val="21"/>
                <w:szCs w:val="21"/>
                <w:highlight w:val="none"/>
                <w:lang w:val="en-US" w:eastAsia="zh-CN"/>
              </w:rPr>
              <w:t>.95%</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C份额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2.25%</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管理人有权根据市场情况及产品运作情况调整业绩基准，并至少于新业绩基准启用前</w:t>
            </w:r>
            <w:r>
              <w:rPr>
                <w:rFonts w:hint="eastAsia" w:ascii="宋体" w:hAnsi="宋体" w:cs="宋体"/>
                <w:kern w:val="0"/>
                <w:highlight w:val="none"/>
              </w:rPr>
              <w:t>〖3〗</w:t>
            </w:r>
            <w:r>
              <w:rPr>
                <w:rFonts w:hint="eastAsia" w:ascii="宋体" w:hAnsi="宋体" w:cs="宋体"/>
                <w:szCs w:val="21"/>
                <w:highlight w:val="none"/>
              </w:rPr>
              <w:t>个工作日公告。</w:t>
            </w:r>
          </w:p>
          <w:p>
            <w:pPr>
              <w:widowControl/>
              <w:spacing w:line="360" w:lineRule="auto"/>
              <w:jc w:val="left"/>
              <w:rPr>
                <w:rFonts w:hint="eastAsia"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并不代表实际收益率</w:t>
            </w:r>
            <w:r>
              <w:rPr>
                <w:rFonts w:hint="eastAsia" w:ascii="宋体" w:hAnsi="宋体" w:cs="宋体"/>
                <w:b/>
                <w:sz w:val="21"/>
                <w:szCs w:val="21"/>
                <w:highlight w:val="none"/>
                <w:lang w:eastAsia="zh-CN"/>
              </w:rPr>
              <w:t>，不构成对理财计划收益的承诺</w:t>
            </w:r>
            <w:r>
              <w:rPr>
                <w:rFonts w:hint="eastAsia" w:ascii="宋体" w:hAnsi="宋体" w:cs="宋体"/>
                <w:b/>
                <w:szCs w:val="21"/>
                <w:highlight w:val="none"/>
              </w:rPr>
              <w:t>。</w:t>
            </w:r>
          </w:p>
          <w:p>
            <w:pPr>
              <w:widowControl/>
              <w:spacing w:line="360" w:lineRule="auto"/>
              <w:jc w:val="left"/>
              <w:rPr>
                <w:rFonts w:hint="eastAsia" w:ascii="宋体" w:hAnsi="宋体" w:cs="宋体"/>
                <w:b/>
                <w:szCs w:val="21"/>
                <w:highlight w:val="none"/>
              </w:rPr>
            </w:pPr>
            <w:r>
              <w:rPr>
                <w:rFonts w:hint="eastAsia" w:ascii="宋体" w:hAnsi="宋体" w:eastAsia="宋体" w:cs="宋体"/>
                <w:b/>
                <w:bCs w:val="0"/>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2.托管费：托管人收取年化</w:t>
            </w:r>
            <w:r>
              <w:rPr>
                <w:rFonts w:hint="eastAsia" w:ascii="宋体" w:hAnsi="宋体" w:cs="宋体"/>
                <w:szCs w:val="21"/>
                <w:highlight w:val="none"/>
              </w:rPr>
              <w:t>〖0.025%〗</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〖0.5</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7.浮动管理费：本理财计划不收取浮动管理费。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1</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产品终止</w:t>
            </w:r>
          </w:p>
        </w:tc>
        <w:tc>
          <w:tcPr>
            <w:tcW w:w="7024" w:type="dxa"/>
            <w:noWrap w:val="0"/>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024" w:type="dxa"/>
            <w:noWrap w:val="0"/>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024" w:type="dxa"/>
            <w:noWrap w:val="0"/>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投资者在理财期限内不能提前支取，如需质押按销售机构相关规定执行。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highlight w:val="none"/>
              </w:rPr>
            </w:pPr>
            <w:r>
              <w:rPr>
                <w:rFonts w:hint="eastAsia" w:ascii="宋体" w:hAnsi="宋体" w:cs="宋体"/>
                <w:color w:val="000000"/>
                <w:szCs w:val="21"/>
                <w:highlight w:val="none"/>
              </w:rPr>
              <w:t>1.认购期内按照活期存款利率计息，认购期内的利息不计入认购本金份额。到期日（或产品终止日）到理财资金返还到账日为清算期，清算期内不计付利息。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highlight w:val="none"/>
              </w:rPr>
              <w:t>2.认购</w:t>
            </w:r>
            <w:r>
              <w:rPr>
                <w:rFonts w:ascii="宋体" w:hAnsi="宋体" w:cs="宋体"/>
                <w:color w:val="000000"/>
                <w:kern w:val="0"/>
                <w:highlight w:val="none"/>
              </w:rPr>
              <w:t>/</w:t>
            </w:r>
            <w:r>
              <w:rPr>
                <w:rFonts w:hint="eastAsia" w:ascii="宋体" w:hAnsi="宋体" w:cs="宋体"/>
                <w:color w:val="000000"/>
                <w:kern w:val="0"/>
                <w:highlight w:val="none"/>
              </w:rPr>
              <w:t>申购申请成功受理后，资金立即自动冻结，投资者不得要求支取和使用。但认购</w:t>
            </w:r>
            <w:r>
              <w:rPr>
                <w:rFonts w:ascii="宋体" w:hAnsi="宋体" w:cs="宋体"/>
                <w:color w:val="000000"/>
                <w:kern w:val="0"/>
                <w:highlight w:val="none"/>
              </w:rPr>
              <w:t>/</w:t>
            </w:r>
            <w:r>
              <w:rPr>
                <w:rFonts w:hint="eastAsia" w:ascii="宋体" w:hAnsi="宋体" w:cs="宋体"/>
                <w:color w:val="000000"/>
                <w:kern w:val="0"/>
                <w:highlight w:val="none"/>
              </w:rPr>
              <w:t>申购资金的冻结不代表该认购</w:t>
            </w:r>
            <w:r>
              <w:rPr>
                <w:rFonts w:ascii="宋体" w:hAnsi="宋体" w:cs="宋体"/>
                <w:color w:val="000000"/>
                <w:kern w:val="0"/>
                <w:highlight w:val="none"/>
              </w:rPr>
              <w:t>/</w:t>
            </w:r>
            <w:r>
              <w:rPr>
                <w:rFonts w:hint="eastAsia" w:ascii="宋体" w:hAnsi="宋体" w:cs="宋体"/>
                <w:color w:val="000000"/>
                <w:kern w:val="0"/>
                <w:highlight w:val="none"/>
              </w:rPr>
              <w:t>申购成功，投资者实际认购</w:t>
            </w:r>
            <w:r>
              <w:rPr>
                <w:rFonts w:ascii="宋体" w:hAnsi="宋体" w:cs="宋体"/>
                <w:color w:val="000000"/>
                <w:kern w:val="0"/>
                <w:highlight w:val="none"/>
              </w:rPr>
              <w:t>/</w:t>
            </w:r>
            <w:r>
              <w:rPr>
                <w:rFonts w:hint="eastAsia" w:ascii="宋体" w:hAnsi="宋体" w:cs="宋体"/>
                <w:color w:val="000000"/>
                <w:kern w:val="0"/>
                <w:highlight w:val="none"/>
              </w:rPr>
              <w:t>申购成功的金额以产品成立日</w:t>
            </w:r>
            <w:r>
              <w:rPr>
                <w:rFonts w:ascii="宋体" w:hAnsi="宋体" w:cs="宋体"/>
                <w:color w:val="000000"/>
                <w:kern w:val="0"/>
                <w:highlight w:val="none"/>
              </w:rPr>
              <w:t>/</w:t>
            </w:r>
            <w:r>
              <w:rPr>
                <w:rFonts w:hint="eastAsia" w:ascii="宋体" w:hAnsi="宋体" w:cs="宋体"/>
                <w:color w:val="000000"/>
                <w:kern w:val="0"/>
                <w:highlight w:val="none"/>
              </w:rPr>
              <w:t>申购确认日的管理人最终确认并实际扣款的资金为准。同时，销售机构将在产品成立日</w:t>
            </w:r>
            <w:r>
              <w:rPr>
                <w:rFonts w:ascii="宋体" w:hAnsi="宋体" w:cs="宋体"/>
                <w:color w:val="000000"/>
                <w:kern w:val="0"/>
                <w:highlight w:val="none"/>
              </w:rPr>
              <w:t>/</w:t>
            </w:r>
            <w:r>
              <w:rPr>
                <w:rFonts w:hint="eastAsia" w:ascii="宋体" w:hAnsi="宋体" w:cs="宋体"/>
                <w:color w:val="000000"/>
                <w:kern w:val="0"/>
                <w:highlight w:val="none"/>
              </w:rPr>
              <w:t>申购确认日的次一工作日内将投资者未认购</w:t>
            </w:r>
            <w:r>
              <w:rPr>
                <w:rFonts w:ascii="宋体" w:hAnsi="宋体" w:cs="宋体"/>
                <w:color w:val="000000"/>
                <w:kern w:val="0"/>
                <w:highlight w:val="none"/>
              </w:rPr>
              <w:t>/</w:t>
            </w:r>
            <w:r>
              <w:rPr>
                <w:rFonts w:hint="eastAsia" w:ascii="宋体" w:hAnsi="宋体" w:cs="宋体"/>
                <w:color w:val="000000"/>
                <w:kern w:val="0"/>
                <w:highlight w:val="none"/>
              </w:rPr>
              <w:t>申购成功的资金（如有）解除冻结。</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3.管理人有权根据市场情况和本理财计划运作情况，对本理财计划的收费项目、条件、标准和方式进行调整。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8"/>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固定收益类资产：包括但不限于各类债券、存款、货币市场金融工具等高流动性资产、债券基金、质押式及买断式回购，其他符合监管要求的固定收益类资产及资产管理产品。</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3"/>
        <w:adjustRightInd/>
        <w:spacing w:line="360" w:lineRule="auto"/>
        <w:ind w:firstLine="456" w:firstLineChars="190"/>
        <w:rPr>
          <w:rFonts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pStyle w:val="13"/>
        <w:numPr>
          <w:ilvl w:val="0"/>
          <w:numId w:val="21"/>
        </w:numPr>
        <w:adjustRightInd/>
        <w:spacing w:line="360" w:lineRule="auto"/>
        <w:rPr>
          <w:rFonts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将通过对宏观经济形势、各项国家政策、及证券市场环境的分析来判断经济周期目前的位置，主动判断市场时机进行资产配置，确定在股票、债券、金融衍生品等各类资产上的投资比例。</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ascii="宋体" w:hAnsi="宋体" w:cs="宋体"/>
          <w:bCs/>
          <w:highlight w:val="none"/>
        </w:rPr>
      </w:pPr>
      <w:r>
        <w:rPr>
          <w:rFonts w:hint="eastAsia" w:ascii="宋体" w:hAnsi="宋体" w:cs="宋体"/>
          <w:bCs/>
          <w:color w:val="auto"/>
          <w:kern w:val="2"/>
          <w:highlight w:val="none"/>
        </w:rPr>
        <w:t>管理人本着稳健投资的理念，采用安全性和流动性优先、优选投资品种，采取久期策略和信用策略来获取稳定收益。</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股票投资策略</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通过对公司可持续竞争力、治理结构、管理层素质、业绩成长性及确定性、估值等要素定性与定量结合综合评定，筛选出具备中长期投资价值的公司股票库，并通过股票库中可选投资标的公司未来1-2年期望收益率、股票有效流动性、市场风险偏好等核心要素的综合比较，选择风险收益比最具吸引力的个股，并根据投资标的公司股价驱动主要因素的变化动态调整投资组合构成。</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highlight w:val="none"/>
        </w:rPr>
        <w:fldChar w:fldCharType="begin"/>
      </w:r>
      <w:r>
        <w:rPr>
          <w:highlight w:val="none"/>
        </w:rPr>
        <w:instrText xml:space="preserve"> HYPERLINK "https://baike.baidu.com/item/%E8%AF%81%E5%88%B8%E6%8A%95%E8%B5%84%E5%9F%BA%E9%87%91/3746"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spacing w:line="360" w:lineRule="auto"/>
        <w:ind w:firstLine="480"/>
        <w:jc w:val="left"/>
        <w:rPr>
          <w:rFonts w:hint="eastAsia" w:ascii="宋体" w:hAnsi="宋体" w:cs="宋体"/>
          <w:bCs/>
          <w:sz w:val="24"/>
          <w:highlight w:val="none"/>
        </w:rPr>
      </w:pPr>
      <w:r>
        <w:rPr>
          <w:rFonts w:hint="eastAsia" w:ascii="宋体" w:hAnsi="宋体" w:cs="宋体"/>
          <w:bCs/>
          <w:sz w:val="24"/>
          <w:highlight w:val="none"/>
        </w:rPr>
        <w:t>本理财计划应当持有不低于该理财产品资产净值5%的现金或者到期日在一年以内的国债、中央银行票据和政策性金融债券。</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highlight w:val="none"/>
        </w:rPr>
        <w:fldChar w:fldCharType="begin"/>
      </w:r>
      <w:r>
        <w:rPr>
          <w:highlight w:val="none"/>
        </w:rPr>
        <w:instrText xml:space="preserve"> HYPERLINK "https://baike.baidu.com/item/%E8%B5%84%E4%BA%A7%E6%94%AF%E6%8C%81%E8%AF%81%E5%88%B8/8989161"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8"/>
        <w:tblW w:w="829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586" w:type="dxa"/>
            <w:noWrap w:val="0"/>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586"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04"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586" w:type="dxa"/>
            <w:noWrap w:val="0"/>
            <w:vAlign w:val="center"/>
          </w:tcPr>
          <w:p>
            <w:pPr>
              <w:spacing w:line="24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8"/>
        <w:tblW w:w="827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352"/>
        <w:gridCol w:w="127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352"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深圳前海微众银行股份有限公司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吉林亿联银行股份有限公司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lang w:val="en-US" w:eastAsia="zh-CN"/>
              </w:rPr>
            </w:pPr>
            <w:r>
              <w:rPr>
                <w:rFonts w:hint="eastAsia" w:ascii="宋体" w:hAnsi="宋体" w:cs="宋体"/>
                <w:bCs/>
                <w:szCs w:val="21"/>
                <w:highlight w:val="none"/>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江苏苏宁银行股份有限公司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江苏常熟农村商业银行股份有限公司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江苏江阴农村商业银行股份有限公司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江苏省江阴市澄江中路1号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广东华兴银行股份有限公司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江苏紫金农村商业银行股份有限公司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江苏省南京市建邺区江东中路381号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中邮邮惠万家银行有限责任公司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甘肃银行股份有限公司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甘肃省兰州市城关区东岗西路525—1号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4008696666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spacing w:line="24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7042" w:type="dxa"/>
            <w:gridSpan w:val="3"/>
            <w:noWrap w:val="0"/>
            <w:vAlign w:val="top"/>
          </w:tcPr>
          <w:p>
            <w:pPr>
              <w:spacing w:line="24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24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及官方网站展示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本理财计划估值日为每个证券交易所的交易日，定期由理财管理人和理财托管人核对估值结果并向投资者披露，具体日期以管理人公告为准。</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存款、债券回购、拆借及存放同业</w:t>
      </w:r>
    </w:p>
    <w:p>
      <w:pPr>
        <w:pStyle w:val="13"/>
        <w:adjustRightInd/>
        <w:spacing w:line="360" w:lineRule="auto"/>
        <w:ind w:firstLine="420"/>
        <w:rPr>
          <w:rFonts w:ascii="宋体" w:hAnsi="宋体" w:cs="宋体"/>
          <w:bCs/>
          <w:kern w:val="2"/>
          <w:highlight w:val="none"/>
        </w:rPr>
      </w:pPr>
      <w:r>
        <w:rPr>
          <w:rFonts w:hint="eastAsia" w:ascii="宋体" w:hAnsi="宋体" w:cs="宋体"/>
          <w:bCs/>
          <w:kern w:val="2"/>
          <w:highlight w:val="none"/>
        </w:rPr>
        <w:t>按成本估值，逐日计提利息。</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债券类资产</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以收取合同现金流量为目的并持有到期的债券，按照摊余成本法估值。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以交易为目的持有的债券按市价法估值。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暂不具备活跃交易市场，或者在活跃交易市场中没有报价、也不能采用估值技术可靠计量公允价值的金融资产，按照成本法估值。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非标准化债权类资产</w:t>
      </w:r>
    </w:p>
    <w:p>
      <w:pPr>
        <w:spacing w:line="360" w:lineRule="auto"/>
        <w:ind w:left="0"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以收取合同现金流量为目的并持有到期的，按照企业会计准则要求，以摊余成本法计量，否则按照估值技术确定其公允价值。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基金、信托计划、资产管理计划等资产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若合同未约定估值方案，但有确定的预期收益率的，则按成本法估值，定期计提预期收益。如该类资产存续期间发生影响资产未来现金流的重大事件的，经管理人合理判断对资产价值进行重估。</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在境内证券交易所上市的股票</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其他资产存在公允价值的，按照监管要求进行公允价值估值，公允价值不能确定的按取得时的成本用成本法进行估值。国家有最新规定的按其规定进行估值。</w:t>
      </w:r>
    </w:p>
    <w:p>
      <w:pPr>
        <w:pStyle w:val="13"/>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当理财计划管理人或托管人认为按上述方法对理财计划进行估值不能客观反映其公允价值的，可以在满足监管要求的前提下协商一致后变更估值方法，并自协商一致日后执行。</w:t>
      </w:r>
    </w:p>
    <w:p>
      <w:pPr>
        <w:pStyle w:val="13"/>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理财计划投资所涉及的交易市场遇法定节假日或因其他原因暂停营业时暂停估值，该种情况理财计划估值日期将提前到前一交易日。</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left="0" w:firstLine="0"/>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B</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C</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0.2</w:t>
      </w:r>
      <w:r>
        <w:rPr>
          <w:rFonts w:hint="eastAsia" w:ascii="宋体" w:hAnsi="宋体" w:cs="宋体"/>
          <w:sz w:val="24"/>
          <w:highlight w:val="none"/>
          <w:lang w:val="en-US" w:eastAsia="zh-CN"/>
        </w:rPr>
        <w:t>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rPr>
        <w:t>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B</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C</w:t>
      </w:r>
      <w:r>
        <w:rPr>
          <w:rFonts w:hint="eastAsia" w:ascii="宋体" w:hAnsi="宋体" w:eastAsia="宋体" w:cs="宋体"/>
          <w:bCs/>
          <w:color w:val="000000"/>
          <w:sz w:val="24"/>
          <w:highlight w:val="none"/>
          <w:lang w:val="en-US" w:eastAsia="zh-CN"/>
        </w:rPr>
        <w:t>份额</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highlight w:val="none"/>
        </w:rPr>
        <w:t>年化</w:t>
      </w:r>
      <w:r>
        <w:rPr>
          <w:rFonts w:hint="eastAsia" w:ascii="宋体" w:hAnsi="宋体" w:cs="宋体"/>
          <w:bCs/>
          <w:color w:val="000000"/>
          <w:sz w:val="24"/>
          <w:highlight w:val="none"/>
        </w:rPr>
        <w:t>固定管理费率为</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szCs w:val="21"/>
          <w:highlight w:val="none"/>
        </w:rPr>
        <w:t>〖</w:t>
      </w:r>
      <w:r>
        <w:rPr>
          <w:rFonts w:hint="eastAsia" w:ascii="宋体" w:hAnsi="宋体" w:cs="宋体"/>
          <w:bCs/>
          <w:color w:val="000000"/>
          <w:sz w:val="24"/>
          <w:highlight w:val="none"/>
          <w:lang w:val="en-US" w:eastAsia="zh-CN"/>
        </w:rPr>
        <w:t>P份额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〖0.5</w:t>
      </w:r>
      <w:r>
        <w:rPr>
          <w:rFonts w:hint="eastAsia" w:ascii="宋体" w:hAnsi="宋体" w:cs="宋体"/>
          <w:sz w:val="24"/>
          <w:highlight w:val="none"/>
          <w:lang w:val="en-US" w:eastAsia="zh-CN"/>
        </w:rPr>
        <w:t>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固定管理费原则上按日计提。理财计划实际运作结果不达业绩比较基准时，管理人有权减免固定管理费。</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本理财计划不收取浮动管理费。</w:t>
      </w:r>
    </w:p>
    <w:p>
      <w:pPr>
        <w:numPr>
          <w:ilvl w:val="0"/>
          <w:numId w:val="39"/>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将到期方式修改为“自动赎回”以赎回本理财计划，逾期未赎回的视为同意接受上述调整且继续持有本理财计划。</w:t>
      </w:r>
    </w:p>
    <w:p>
      <w:pPr>
        <w:numPr>
          <w:ilvl w:val="0"/>
          <w:numId w:val="41"/>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w:t>
      </w: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（产品终止日）单位净值+份额持有期间累计分红-认购或申购金额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份额=认购或申购金额/成立日或申购确认日前一日的单位净值。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（产品终止日）单位净值为提取相关费用及税费后的单位理财计划份额净值。</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r>
        <w:rPr>
          <w:rFonts w:hint="eastAsia" w:ascii="宋体" w:hAnsi="宋体" w:cs="宋体"/>
          <w:bCs/>
          <w:color w:val="000000"/>
          <w:sz w:val="24"/>
          <w:highlight w:val="none"/>
          <w:lang w:eastAsia="zh-CN"/>
        </w:rPr>
        <w:t>。</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0"/>
        </w:num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销售机构有权以投资者签署的理财协议书中约定的投资金额为限从投资者理财账户中进行资金扣划，无需投资者另行授权。</w:t>
      </w:r>
    </w:p>
    <w:p>
      <w:pPr>
        <w:numPr>
          <w:ilvl w:val="0"/>
          <w:numId w:val="47"/>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本理财计划在每个申购开放期的开放日工作时间可进行申购，申购申请将在申购确认日进行确认。申购确认日如遇非交易日则自动顺延至下一交易日，如遇特殊情况具体以管理人公告为准。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工作时间为每个交易日上午〖9:00〗至下午〖17:00〗。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具体以销售机构销售要素为准</w:t>
      </w:r>
      <w:r>
        <w:rPr>
          <w:rFonts w:hint="eastAsia" w:ascii="宋体" w:hAnsi="宋体" w:eastAsia="宋体" w:cs="宋体"/>
          <w:bCs/>
          <w:sz w:val="24"/>
          <w:szCs w:val="24"/>
          <w:highlight w:val="none"/>
          <w:lang w:eastAsia="zh-CN"/>
        </w:rPr>
        <w:t>）</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赎回资金确认后，最快〖1〗个工作日，最晚〖3〗个工作日内（遇节假日顺延）理财资金与收益将一次性支付。如遇资金在途或法定工作日调整，实际资金到账日以公告为准。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理财计划存续期内，若理财计划开放期净赎回申请份额超过上一确认日日终理财计划总份额〖10%〗时，即构成巨额赎回。</w:t>
      </w:r>
      <w:r>
        <w:rPr>
          <w:rFonts w:hint="eastAsia" w:ascii="宋体" w:hAnsi="宋体" w:cs="宋体"/>
          <w:bCs/>
          <w:sz w:val="24"/>
          <w:highlight w:val="none"/>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投资周期重新进行赎回申请。</w:t>
      </w:r>
    </w:p>
    <w:p>
      <w:pPr>
        <w:numPr>
          <w:ilvl w:val="0"/>
          <w:numId w:val="50"/>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48"/>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3"/>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在理财计划期限内，管理人根据投资情况行使终止权，于本理财计划终止日前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Cs w:val="21"/>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如发生以下事项时，管理人可对本理财计划行使全部终止权：</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理财计划合同：管理人应在正式办理理财计划份额认购前披露，包括风险揭示书、产品说明书、投资者权益须知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rPr>
        <w:t>及理财计划销售协议书</w:t>
      </w:r>
      <w:r>
        <w:rPr>
          <w:rFonts w:hint="eastAsia" w:ascii="宋体" w:hAnsi="宋体" w:cs="宋体"/>
          <w:bCs/>
          <w:color w:val="000000"/>
          <w:sz w:val="24"/>
          <w:highlight w:val="none"/>
        </w:rPr>
        <w:t>。</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重大事项公告：管理人应在发生可能对理财计划投资者或者理财计划收益产生重大事项的事件后2个工作日内发布重大事项公告。</w:t>
      </w:r>
    </w:p>
    <w:p>
      <w:pPr>
        <w:numPr>
          <w:ilvl w:val="0"/>
          <w:numId w:val="5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w:t>
      </w:r>
      <w:r>
        <w:rPr>
          <w:rFonts w:hint="eastAsia" w:ascii="宋体" w:hAnsi="宋体" w:cs="宋体"/>
          <w:bCs/>
          <w:color w:val="000000"/>
          <w:sz w:val="24"/>
          <w:highlight w:val="none"/>
        </w:rPr>
        <w:t>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w:t>
      </w:r>
      <w:r>
        <w:rPr>
          <w:rFonts w:hint="eastAsia" w:ascii="宋体" w:hAnsi="宋体" w:cs="宋体"/>
          <w:bCs/>
          <w:color w:val="000000"/>
          <w:sz w:val="24"/>
          <w:highlight w:val="none"/>
        </w:rPr>
        <w:t>管理人应当及时披露除重大事项以外的其他信息，包括但不限于理财计划终止、变更理财计划管理人和托管人、涉及理财计划管理业务的重大诉讼、涉及费率相关事项的变动、理财计划延期兑付等。</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管理人所在地有管辖权的人民法院诉讼解决。</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（202101版）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val="en-US" w:eastAsia="zh-CN"/>
        </w:rPr>
        <w:t>和</w:t>
      </w:r>
      <w:r>
        <w:rPr>
          <w:rFonts w:hint="eastAsia" w:ascii="宋体" w:hAnsi="宋体" w:cs="宋体"/>
          <w:kern w:val="0"/>
          <w:sz w:val="24"/>
          <w:highlight w:val="none"/>
        </w:rPr>
        <w:t>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在杭州银行（作为销售机构）购买本理财计划的请联系杭州银行，杭州银行客户服务热线：95398、4008888508，杭州银行官方网站：www.hzbank.com.cn。</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在其他销售机构购买理财计划的，请联系其他销售机构，联系方式以其披露为准。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官方网站：暂无</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公司地址：杭州市拱墅区庆春路38号金龙财富中心6楼</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若上述联系方式变更，杭银理财将提前通过原官方网站及时告知投资者。</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outlineLvl w:val="1"/>
        <w:rPr>
          <w:rFonts w:hint="eastAsia"/>
          <w:b/>
          <w:sz w:val="44"/>
          <w:szCs w:val="44"/>
          <w:highlight w:val="none"/>
        </w:rPr>
      </w:pPr>
      <w:r>
        <w:rPr>
          <w:rFonts w:hint="eastAsia" w:ascii="宋体" w:hAnsi="宋体" w:cs="宋体"/>
          <w:sz w:val="28"/>
          <w:szCs w:val="28"/>
          <w:highlight w:val="none"/>
        </w:rPr>
        <w:t>（202101版）</w:t>
      </w:r>
    </w:p>
    <w:p>
      <w:pPr>
        <w:jc w:val="center"/>
        <w:rPr>
          <w:rFonts w:hint="eastAsia"/>
          <w:b/>
          <w:sz w:val="32"/>
          <w:szCs w:val="32"/>
          <w:highlight w:val="none"/>
        </w:rPr>
      </w:pP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特别提示：杭银理财理财计划投资协议书与投资者权益须知、风险揭示书</w:t>
      </w:r>
      <w:r>
        <w:rPr>
          <w:rFonts w:hint="eastAsia"/>
          <w:b/>
          <w:bCs/>
          <w:sz w:val="24"/>
          <w:highlight w:val="none"/>
          <w:lang w:eastAsia="zh-CN"/>
        </w:rPr>
        <w:t>、</w:t>
      </w:r>
      <w:r>
        <w:rPr>
          <w:rFonts w:hint="eastAsia" w:ascii="宋体" w:hAnsi="宋体" w:cs="宋体"/>
          <w:b/>
          <w:sz w:val="24"/>
          <w:highlight w:val="none"/>
        </w:rPr>
        <w:t>理财计划销售协议书</w:t>
      </w:r>
      <w:r>
        <w:rPr>
          <w:rFonts w:hint="eastAsia"/>
          <w:b/>
          <w:bCs/>
          <w:sz w:val="24"/>
          <w:highlight w:val="none"/>
        </w:rPr>
        <w:t>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69"/>
        </w:numPr>
        <w:spacing w:line="360" w:lineRule="auto"/>
        <w:ind w:firstLine="482" w:firstLineChars="200"/>
        <w:outlineLvl w:val="9"/>
        <w:rPr>
          <w:rFonts w:hint="eastAsia" w:ascii="宋体" w:hAnsi="宋体"/>
          <w:b/>
          <w:bCs/>
          <w:sz w:val="24"/>
          <w:highlight w:val="none"/>
        </w:rPr>
      </w:pPr>
      <w:r>
        <w:rPr>
          <w:rFonts w:hint="eastAsia"/>
          <w:b/>
          <w:bCs/>
          <w:sz w:val="24"/>
          <w:highlight w:val="none"/>
        </w:rPr>
        <w:t>名词释义</w:t>
      </w:r>
    </w:p>
    <w:p>
      <w:pPr>
        <w:spacing w:line="360" w:lineRule="auto"/>
        <w:ind w:firstLine="480" w:firstLineChars="200"/>
        <w:outlineLvl w:val="9"/>
        <w:rPr>
          <w:rFonts w:hint="eastAsia"/>
          <w:bCs/>
          <w:sz w:val="24"/>
          <w:highlight w:val="none"/>
        </w:rPr>
      </w:pPr>
      <w:r>
        <w:rPr>
          <w:rFonts w:hint="eastAsia"/>
          <w:bCs/>
          <w:sz w:val="24"/>
          <w:highlight w:val="none"/>
        </w:rPr>
        <w:t>详见理财计划说明书“释义”部分。</w:t>
      </w: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投资者权利与义务</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管理人权利与义务</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1"/>
        </w:numPr>
        <w:spacing w:line="360" w:lineRule="auto"/>
        <w:contextualSpacing/>
        <w:outlineLvl w:val="9"/>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eastAsia="宋体" w:cs="宋体"/>
          <w:bCs/>
          <w:sz w:val="24"/>
          <w:highlight w:val="none"/>
        </w:rPr>
        <w:t>银行保险监督管理</w:t>
      </w:r>
      <w:r>
        <w:rPr>
          <w:rFonts w:hint="eastAsia" w:ascii="宋体" w:hAnsi="宋体" w:cs="宋体"/>
          <w:bCs/>
          <w:sz w:val="24"/>
          <w:highlight w:val="none"/>
        </w:rPr>
        <w:t>委员会规定</w:t>
      </w:r>
      <w:r>
        <w:rPr>
          <w:rFonts w:hint="eastAsia" w:ascii="宋体" w:hAnsi="宋体"/>
          <w:sz w:val="24"/>
          <w:highlight w:val="none"/>
        </w:rPr>
        <w:t xml:space="preserve">的其他机构托管理财计划。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理财计划认（申）购、赎回及终止</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2"/>
        </w:numPr>
        <w:spacing w:line="360" w:lineRule="auto"/>
        <w:contextualSpacing/>
        <w:outlineLvl w:val="9"/>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税收处理</w:t>
      </w:r>
    </w:p>
    <w:p>
      <w:pPr>
        <w:widowControl/>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outlineLvl w:val="9"/>
        <w:rPr>
          <w:rFonts w:ascii="宋体" w:hAnsi="宋体"/>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违约责任及免责条款</w:t>
      </w:r>
    </w:p>
    <w:p>
      <w:pPr>
        <w:widowControl/>
        <w:numPr>
          <w:ilvl w:val="0"/>
          <w:numId w:val="73"/>
        </w:numPr>
        <w:spacing w:line="360" w:lineRule="auto"/>
        <w:contextualSpacing/>
        <w:outlineLvl w:val="9"/>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numPr>
          <w:ilvl w:val="0"/>
          <w:numId w:val="73"/>
        </w:numPr>
        <w:spacing w:line="360" w:lineRule="auto"/>
        <w:contextualSpacing/>
        <w:outlineLvl w:val="9"/>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3"/>
        </w:numPr>
        <w:spacing w:line="360" w:lineRule="auto"/>
        <w:contextualSpacing/>
        <w:outlineLvl w:val="9"/>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3"/>
        </w:numPr>
        <w:spacing w:line="360" w:lineRule="auto"/>
        <w:contextualSpacing/>
        <w:outlineLvl w:val="9"/>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3"/>
        </w:numPr>
        <w:spacing w:line="360" w:lineRule="auto"/>
        <w:contextualSpacing/>
        <w:outlineLvl w:val="9"/>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3"/>
        </w:numPr>
        <w:spacing w:line="360" w:lineRule="auto"/>
        <w:contextualSpacing/>
        <w:outlineLvl w:val="9"/>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outlineLvl w:val="9"/>
        <w:rPr>
          <w:rFonts w:ascii="宋体" w:hAnsi="宋体"/>
          <w:sz w:val="24"/>
          <w:highlight w:val="none"/>
        </w:rPr>
      </w:pPr>
    </w:p>
    <w:p>
      <w:pPr>
        <w:numPr>
          <w:ilvl w:val="0"/>
          <w:numId w:val="69"/>
        </w:numPr>
        <w:spacing w:line="360" w:lineRule="auto"/>
        <w:ind w:firstLine="482" w:firstLineChars="200"/>
        <w:outlineLvl w:val="9"/>
        <w:rPr>
          <w:b/>
          <w:sz w:val="24"/>
          <w:highlight w:val="none"/>
        </w:rPr>
      </w:pPr>
      <w:r>
        <w:rPr>
          <w:rFonts w:hint="eastAsia"/>
          <w:b/>
          <w:sz w:val="24"/>
          <w:highlight w:val="none"/>
        </w:rPr>
        <w:t>适用法律与争议解决</w:t>
      </w:r>
    </w:p>
    <w:p>
      <w:pPr>
        <w:widowControl/>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的法律和行政法规。本合同项下的及与之有关的一切争议，投资者与管理人双方应首先协商解决，协商不成的，应提交管理人所在地人民法院司法裁决。诉讼期间，未涉及争议的条款仍继续履行。</w:t>
      </w:r>
    </w:p>
    <w:p>
      <w:pPr>
        <w:spacing w:line="360" w:lineRule="auto"/>
        <w:ind w:left="482"/>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协议生效和终止</w:t>
      </w:r>
    </w:p>
    <w:p>
      <w:pPr>
        <w:widowControl/>
        <w:numPr>
          <w:ilvl w:val="0"/>
          <w:numId w:val="74"/>
        </w:numPr>
        <w:spacing w:line="360" w:lineRule="auto"/>
        <w:contextualSpacing/>
        <w:outlineLvl w:val="9"/>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4"/>
        </w:numPr>
        <w:spacing w:line="360" w:lineRule="auto"/>
        <w:contextualSpacing/>
        <w:outlineLvl w:val="9"/>
        <w:rPr>
          <w:rFonts w:hint="eastAsia" w:ascii="宋体" w:hAnsi="宋体"/>
          <w:sz w:val="24"/>
          <w:highlight w:val="none"/>
        </w:rPr>
      </w:pPr>
      <w:r>
        <w:rPr>
          <w:rFonts w:hint="eastAsia" w:ascii="宋体" w:hAnsi="宋体"/>
          <w:sz w:val="24"/>
          <w:highlight w:val="none"/>
        </w:rPr>
        <w:t xml:space="preserve">本协议书以纸质书面形式订立的，自投资者签字和销售机构代表管理人签署盖章之后立即生效。协议一式两份，投资者和管理人双方各执一份，具有同等法律效力。 </w:t>
      </w:r>
    </w:p>
    <w:p>
      <w:pPr>
        <w:widowControl/>
        <w:numPr>
          <w:ilvl w:val="0"/>
          <w:numId w:val="74"/>
        </w:numPr>
        <w:spacing w:line="360" w:lineRule="auto"/>
        <w:contextualSpacing/>
        <w:outlineLvl w:val="9"/>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4"/>
        </w:numPr>
        <w:spacing w:line="360" w:lineRule="auto"/>
        <w:contextualSpacing/>
        <w:outlineLvl w:val="9"/>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outlineLvl w:val="9"/>
        <w:rPr>
          <w:rFonts w:ascii="宋体" w:hAnsi="宋体"/>
          <w:sz w:val="24"/>
          <w:highlight w:val="none"/>
        </w:rPr>
      </w:pPr>
    </w:p>
    <w:p>
      <w:pPr>
        <w:numPr>
          <w:ilvl w:val="0"/>
          <w:numId w:val="69"/>
        </w:numPr>
        <w:spacing w:line="360" w:lineRule="auto"/>
        <w:ind w:firstLine="482" w:firstLineChars="200"/>
        <w:outlineLvl w:val="9"/>
        <w:rPr>
          <w:b/>
          <w:sz w:val="24"/>
          <w:highlight w:val="none"/>
        </w:rPr>
      </w:pPr>
      <w:r>
        <w:rPr>
          <w:rFonts w:hint="eastAsia"/>
          <w:b/>
          <w:sz w:val="24"/>
          <w:highlight w:val="none"/>
        </w:rPr>
        <w:t>附则</w:t>
      </w:r>
    </w:p>
    <w:p>
      <w:pPr>
        <w:widowControl/>
        <w:numPr>
          <w:ilvl w:val="0"/>
          <w:numId w:val="75"/>
        </w:numPr>
        <w:spacing w:line="360" w:lineRule="auto"/>
        <w:contextualSpacing/>
        <w:outlineLvl w:val="9"/>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5"/>
        </w:numPr>
        <w:spacing w:line="360" w:lineRule="auto"/>
        <w:contextualSpacing/>
        <w:outlineLvl w:val="9"/>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5"/>
        </w:numPr>
        <w:spacing w:line="360" w:lineRule="auto"/>
        <w:contextualSpacing/>
        <w:outlineLvl w:val="9"/>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6"/>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spacing w:line="360" w:lineRule="auto"/>
        <w:ind w:firstLine="0" w:firstLineChars="0"/>
        <w:outlineLvl w:val="9"/>
        <w:rPr>
          <w:rFonts w:ascii="宋体" w:hAnsi="宋体" w:cs="宋体"/>
          <w:bCs/>
          <w:color w:val="000000"/>
          <w:sz w:val="24"/>
          <w:highlight w:val="none"/>
        </w:rPr>
      </w:pPr>
    </w:p>
    <w:p>
      <w:pPr>
        <w:pStyle w:val="6"/>
        <w:widowControl/>
        <w:spacing w:line="360" w:lineRule="auto"/>
        <w:jc w:val="center"/>
        <w:outlineLvl w:val="0"/>
        <w:rPr>
          <w:rFonts w:ascii="宋体" w:hAnsi="宋体" w:cs="宋体"/>
          <w:kern w:val="0"/>
          <w:sz w:val="21"/>
          <w:szCs w:val="21"/>
          <w:highlight w:val="none"/>
        </w:rPr>
      </w:pPr>
      <w:bookmarkStart w:id="0" w:name="_GoBack"/>
      <w:bookmarkEnd w:id="0"/>
      <w:r>
        <w:rPr>
          <w:rFonts w:hint="eastAsia" w:ascii="宋体" w:hAnsi="宋体" w:cs="宋体"/>
          <w:b/>
          <w:sz w:val="32"/>
          <w:szCs w:val="32"/>
          <w:highlight w:val="none"/>
        </w:rPr>
        <w:t>杭银理财理财计划销售协议书</w:t>
      </w:r>
    </w:p>
    <w:p>
      <w:pPr>
        <w:jc w:val="center"/>
        <w:outlineLvl w:val="9"/>
        <w:rPr>
          <w:rFonts w:ascii="宋体" w:hAnsi="宋体" w:cs="宋体"/>
          <w:highlight w:val="none"/>
        </w:rPr>
      </w:pPr>
      <w:r>
        <w:rPr>
          <w:rFonts w:hint="eastAsia" w:ascii="宋体" w:hAnsi="宋体" w:cs="宋体"/>
          <w:szCs w:val="21"/>
          <w:highlight w:val="none"/>
        </w:rPr>
        <w:t>（202101版）</w:t>
      </w:r>
    </w:p>
    <w:p>
      <w:pPr>
        <w:autoSpaceDE w:val="0"/>
        <w:spacing w:line="360" w:lineRule="auto"/>
        <w:jc w:val="center"/>
        <w:outlineLvl w:val="9"/>
        <w:rPr>
          <w:highlight w:val="none"/>
        </w:rPr>
      </w:pPr>
    </w:p>
    <w:p>
      <w:p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理财非存款、产品有风险、投资须谨慎，理财计划过往业绩不代表其未来表现，不等于理财计划实际收益。</w:t>
      </w:r>
    </w:p>
    <w:p>
      <w:pPr>
        <w:widowControl/>
        <w:autoSpaceDE w:val="0"/>
        <w:spacing w:line="360" w:lineRule="auto"/>
        <w:ind w:firstLine="480" w:firstLineChars="200"/>
        <w:outlineLvl w:val="9"/>
        <w:rPr>
          <w:rFonts w:ascii="宋体" w:hAnsi="宋体"/>
          <w:sz w:val="24"/>
          <w:highlight w:val="none"/>
        </w:rPr>
      </w:pPr>
      <w:r>
        <w:rPr>
          <w:rFonts w:hint="eastAsia" w:ascii="宋体" w:hAnsi="宋体"/>
          <w:sz w:val="24"/>
          <w:highlight w:val="none"/>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80" w:firstLineChars="200"/>
        <w:outlineLvl w:val="9"/>
        <w:rPr>
          <w:rFonts w:ascii="宋体" w:hAnsi="宋体"/>
          <w:sz w:val="24"/>
          <w:highlight w:val="none"/>
        </w:rPr>
      </w:pPr>
      <w:r>
        <w:rPr>
          <w:rFonts w:hint="eastAsia" w:ascii="宋体" w:hAnsi="宋体"/>
          <w:sz w:val="24"/>
          <w:highlight w:val="none"/>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80" w:firstLineChars="200"/>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名词释义</w:t>
      </w:r>
    </w:p>
    <w:p>
      <w:pPr>
        <w:widowControl/>
        <w:autoSpaceDE w:val="0"/>
        <w:spacing w:line="360" w:lineRule="auto"/>
        <w:ind w:firstLine="480" w:firstLineChars="200"/>
        <w:jc w:val="left"/>
        <w:outlineLvl w:val="9"/>
        <w:rPr>
          <w:rFonts w:ascii="宋体" w:hAnsi="宋体"/>
          <w:sz w:val="24"/>
          <w:highlight w:val="none"/>
        </w:rPr>
      </w:pPr>
      <w:r>
        <w:rPr>
          <w:rFonts w:hint="eastAsia" w:ascii="宋体" w:hAnsi="宋体"/>
          <w:sz w:val="24"/>
          <w:highlight w:val="none"/>
        </w:rPr>
        <w:t>详见对应期次的理财计划产品说明书“释义”部分。</w:t>
      </w:r>
    </w:p>
    <w:p>
      <w:pPr>
        <w:widowControl/>
        <w:autoSpaceDE w:val="0"/>
        <w:spacing w:line="360" w:lineRule="auto"/>
        <w:ind w:firstLine="480" w:firstLineChars="200"/>
        <w:jc w:val="left"/>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投资者权利与义务</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szCs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投资者保证自身完全了解理财投资的性质，投资所涉及的风险以及自身风险承受能力，在慎重考虑后独立作出交易决定。</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szCs w:val="24"/>
          <w:highlight w:val="none"/>
        </w:rPr>
        <w:t>投资冷静期相关约定详见理财计划产品说明书。</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投资者保证其有权利签署本协议和履行本协议所述的义务，并已为此采取一切所需的行为。</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szCs w:val="24"/>
          <w:highlight w:val="none"/>
        </w:rPr>
        <w:t>。</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本协议终止前，投资者不得将授权指定账户销户。若发生因投资者注销授权指定账户造成理财计划无法正常兑付的，代理销售机构不承担任何责任。</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投资者对本协议及其条款负有保密义务，未经代理销售机构书面许可，不得向任何组织、个人提供或泄露与代理销售机构有关的业务资料及信息，但法律、法规另有规定的除外。</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投资者进行投资时，应严格遵守反洗钱相关法规的规定，切实履行反洗钱及反恐怖融资义务。</w:t>
      </w:r>
    </w:p>
    <w:p>
      <w:pPr>
        <w:pStyle w:val="6"/>
        <w:widowControl/>
        <w:numPr>
          <w:ilvl w:val="0"/>
          <w:numId w:val="77"/>
        </w:numPr>
        <w:spacing w:line="360" w:lineRule="auto"/>
        <w:contextualSpacing/>
        <w:outlineLvl w:val="9"/>
        <w:rPr>
          <w:rFonts w:ascii="宋体" w:hAnsi="宋体" w:cs="黑体"/>
          <w:b/>
          <w:szCs w:val="24"/>
          <w:highlight w:val="none"/>
        </w:rPr>
      </w:pPr>
      <w:r>
        <w:rPr>
          <w:rFonts w:hint="eastAsia" w:ascii="宋体" w:hAnsi="宋体" w:cs="黑体"/>
          <w:b/>
          <w:szCs w:val="24"/>
          <w:highlight w:val="none"/>
        </w:rPr>
        <w:t>投资者个人信息授权</w:t>
      </w:r>
    </w:p>
    <w:p>
      <w:pPr>
        <w:pStyle w:val="6"/>
        <w:widowControl/>
        <w:spacing w:line="360" w:lineRule="auto"/>
        <w:ind w:firstLine="482" w:firstLineChars="200"/>
        <w:outlineLvl w:val="9"/>
        <w:rPr>
          <w:rFonts w:ascii="宋体" w:hAnsi="宋体" w:cs="黑体"/>
          <w:b/>
          <w:szCs w:val="24"/>
          <w:highlight w:val="none"/>
        </w:rPr>
      </w:pPr>
      <w:r>
        <w:rPr>
          <w:rFonts w:hint="eastAsia" w:ascii="宋体" w:hAnsi="宋体" w:cs="黑体"/>
          <w:b/>
          <w:szCs w:val="24"/>
          <w:highlight w:val="none"/>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pStyle w:val="6"/>
        <w:widowControl/>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代理销售机构的权利与义务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b/>
          <w:szCs w:val="24"/>
          <w:highlight w:val="none"/>
        </w:rPr>
        <w:t>代理销售机构非本计划的发行、管理机构，对本计划的业绩不承担任何保证和其他经济责任，不承担本计划的投资、兑付和风险管理责任</w:t>
      </w:r>
      <w:r>
        <w:rPr>
          <w:rFonts w:hint="eastAsia" w:ascii="宋体" w:hAnsi="宋体" w:cs="黑体"/>
          <w:szCs w:val="24"/>
          <w:highlight w:val="none"/>
        </w:rPr>
        <w:t>。</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代理销售机构应定期对购买其代理销售的理财计划的非机构投资者进行有效风险承受能力评估，并保证向投资者推介及销售与其风险承受能力匹配的产品。</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代理销售机构应建立健全上岗资格、持续培训、信息公示与查询核实等制度并有效执行。未经代理销售机构进行上岗资格认定并签订劳动合同，任何人员不得从事理财计划销售业务活动。</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代理销售机构应对所有销售人员信息进行登记和公示。销售人员在向投资者宣传销售理财计划前进行自我介绍并告知信息查询和核实渠道，便于投资者查询核实，防止伪冒身份和虚假宣传。</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代理销售机构对投资者负有信息保密义务，未经投资者书面许可，乙方不得向任何组织、个人提供或泄露与甲方有关的业务资料及信息，但法律、法规另有规定的除外。</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代理销售机构应按照法律法规、监管规定、理财计划合同的约定收取销售费用，并如实核算、记账。未经载明，不得对不同投资者适用不同费率。</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理财计划销售结算资金属于理财计划投资者，代理销售机构不得挪用理财计划销售结算资金或将理财计划销售结算资金归入自有资产。</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代理销售机构应遵守相关法律、法规、监管规定及理财计划合同约定，诚实守信、勤勉尽责，向购买理财计划的投资者充分传递管理人披露的产品相关信息并进行充分的风险揭示。</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代理销售机构应当充分利用科技手段，加强对伪冒网站、伪冒产品等监测，有效防范各类欺诈风险。</w:t>
      </w:r>
    </w:p>
    <w:p>
      <w:pPr>
        <w:pStyle w:val="6"/>
        <w:widowControl/>
        <w:autoSpaceDE w:val="0"/>
        <w:spacing w:line="360" w:lineRule="auto"/>
        <w:ind w:left="482"/>
        <w:contextualSpacing/>
        <w:jc w:val="left"/>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理财计划认（申）购、赎回及终止</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理财计划认/申购办理流程：参照投资者权益须知约定。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理财计划认/申购确认：管理人根据代理销售渠道提供的交易信息及资金划付对投资者相应认/申购进行确认。</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理财计划投资品种、投资起点金额、收益支付方式：参照对应期次的理财计划产品说明书中的条款约定。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pStyle w:val="6"/>
        <w:widowControl/>
        <w:autoSpaceDE w:val="0"/>
        <w:spacing w:line="360" w:lineRule="auto"/>
        <w:ind w:left="178" w:leftChars="85"/>
        <w:contextualSpacing/>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违约责任及免责条款</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若由于代理销售机构过错导致理财计划资产发生损失，代理销售机构应按其过错承担赔偿责任，代理销售机构赔偿的款项计入理财计划的资产和收益。</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因国家有关法律、法规、规章、政策的修改或新的法律、法规、规章、政策颁布以及紧急措施的出台导致的风险及损失，代理销售机构不承担责任。</w:t>
      </w:r>
    </w:p>
    <w:p>
      <w:pPr>
        <w:pStyle w:val="6"/>
        <w:widowControl/>
        <w:autoSpaceDE w:val="0"/>
        <w:spacing w:line="360" w:lineRule="auto"/>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适用法律与争议解决</w:t>
      </w:r>
    </w:p>
    <w:p>
      <w:pPr>
        <w:pStyle w:val="6"/>
        <w:widowControl/>
        <w:autoSpaceDE w:val="0"/>
        <w:spacing w:line="360" w:lineRule="auto"/>
        <w:ind w:firstLine="480" w:firstLineChars="200"/>
        <w:outlineLvl w:val="9"/>
        <w:rPr>
          <w:rFonts w:ascii="宋体" w:hAnsi="宋体" w:cs="黑体"/>
          <w:szCs w:val="24"/>
          <w:highlight w:val="none"/>
        </w:rPr>
      </w:pPr>
      <w:r>
        <w:rPr>
          <w:rFonts w:hint="eastAsia" w:ascii="宋体" w:hAnsi="宋体" w:cs="黑体"/>
          <w:szCs w:val="24"/>
          <w:highlight w:val="none"/>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pStyle w:val="6"/>
        <w:widowControl/>
        <w:autoSpaceDE w:val="0"/>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协议生效和终止</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投资者和代理销售机构双方认可本协议可以纸质或电子数据等形式提交、订立或确认。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本协议书以纸质书面形式订立的，自投资者签字和代理销售机构签章之后立即生效。协议一式叁份，投资者、管理人和代理销售机构各执壹份，具有同等法律效力。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投资者和代理销售机构双方在本协议及对应期次的理财计划产品说明书项下权利义务履行完毕之日，本协议自动终止。</w:t>
      </w:r>
    </w:p>
    <w:p>
      <w:pPr>
        <w:pStyle w:val="6"/>
        <w:widowControl/>
        <w:autoSpaceDE w:val="0"/>
        <w:spacing w:line="360" w:lineRule="auto"/>
        <w:ind w:left="420"/>
        <w:contextualSpacing/>
        <w:outlineLvl w:val="9"/>
        <w:rPr>
          <w:rFonts w:ascii="宋体" w:hAnsi="宋体" w:cs="黑体"/>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 xml:space="preserve">附则 </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如果由于任何原因使本合同下的任何条款或内容成为无效或被依法撤销，本合同其他条款或内容的合法性、有效性和可执行性不受影响。</w:t>
      </w:r>
    </w:p>
    <w:p>
      <w:pPr>
        <w:pStyle w:val="6"/>
        <w:widowControl/>
        <w:numPr>
          <w:ilvl w:val="0"/>
          <w:numId w:val="82"/>
        </w:numPr>
        <w:autoSpaceDE w:val="0"/>
        <w:spacing w:line="360" w:lineRule="auto"/>
        <w:contextualSpacing/>
        <w:outlineLvl w:val="9"/>
        <w:rPr>
          <w:rFonts w:ascii="宋体" w:hAnsi="宋体" w:cs="宋体"/>
          <w:szCs w:val="24"/>
          <w:highlight w:val="none"/>
        </w:rPr>
      </w:pPr>
      <w:r>
        <w:rPr>
          <w:rFonts w:hint="eastAsia" w:ascii="宋体" w:hAnsi="宋体" w:cs="黑体"/>
          <w:szCs w:val="24"/>
          <w:highlight w:val="none"/>
        </w:rPr>
        <w:t>在理财计划存续期内，如因监管政策或法律法规发生变化，在不损害投资者利益的前提下，管理人有权单方对理财计划合同销售文件进行修订。</w:t>
      </w:r>
    </w:p>
    <w:p>
      <w:pPr>
        <w:pStyle w:val="6"/>
        <w:widowControl/>
        <w:tabs>
          <w:tab w:val="left" w:pos="0"/>
        </w:tabs>
        <w:autoSpaceDE w:val="0"/>
        <w:spacing w:line="360" w:lineRule="auto"/>
        <w:ind w:left="420"/>
        <w:contextualSpacing/>
        <w:outlineLvl w:val="9"/>
        <w:rPr>
          <w:rFonts w:ascii="宋体" w:hAnsi="宋体" w:cs="宋体"/>
          <w:szCs w:val="24"/>
          <w:highlight w:val="none"/>
        </w:rPr>
      </w:pPr>
    </w:p>
    <w:p>
      <w:pPr>
        <w:widowControl/>
        <w:spacing w:line="360" w:lineRule="auto"/>
        <w:jc w:val="right"/>
        <w:outlineLvl w:val="9"/>
        <w:rPr>
          <w:rFonts w:ascii="宋体" w:hAnsi="宋体" w:cs="宋体"/>
          <w:color w:val="000000"/>
          <w:kern w:val="0"/>
          <w:sz w:val="24"/>
          <w:highlight w:val="none"/>
        </w:rPr>
      </w:pPr>
      <w:r>
        <w:rPr>
          <w:rFonts w:hint="eastAsia" w:ascii="宋体" w:hAnsi="宋体" w:cs="宋体"/>
          <w:kern w:val="0"/>
          <w:sz w:val="24"/>
          <w:highlight w:val="none"/>
        </w:rPr>
        <w:t>杭银理财有限责任公司</w:t>
      </w:r>
    </w:p>
    <w:p>
      <w:pPr>
        <w:spacing w:line="360" w:lineRule="auto"/>
        <w:ind w:firstLine="480" w:firstLineChars="200"/>
        <w:outlineLvl w:val="9"/>
        <w:rPr>
          <w:rFonts w:ascii="宋体" w:hAnsi="宋体" w:cs="宋体"/>
          <w:bCs/>
          <w:color w:val="000000"/>
          <w:sz w:val="24"/>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40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40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06F53F"/>
    <w:multiLevelType w:val="multilevel"/>
    <w:tmpl w:val="AC06F53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3339662"/>
    <w:multiLevelType w:val="multilevel"/>
    <w:tmpl w:val="B3339662"/>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3DD4737"/>
    <w:multiLevelType w:val="multilevel"/>
    <w:tmpl w:val="F3DD4737"/>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4DAE6D1"/>
    <w:multiLevelType w:val="singleLevel"/>
    <w:tmpl w:val="F4DAE6D1"/>
    <w:lvl w:ilvl="0" w:tentative="0">
      <w:start w:val="1"/>
      <w:numFmt w:val="decimal"/>
      <w:suff w:val="nothing"/>
      <w:lvlText w:val="（%1）"/>
      <w:lvlJc w:val="left"/>
    </w:lvl>
  </w:abstractNum>
  <w:abstractNum w:abstractNumId="36">
    <w:nsid w:val="F574F5B6"/>
    <w:multiLevelType w:val="singleLevel"/>
    <w:tmpl w:val="F574F5B6"/>
    <w:lvl w:ilvl="0" w:tentative="0">
      <w:start w:val="1"/>
      <w:numFmt w:val="decimal"/>
      <w:suff w:val="nothing"/>
      <w:lvlText w:val="（%1）"/>
      <w:lvlJc w:val="left"/>
    </w:lvl>
  </w:abstractNum>
  <w:abstractNum w:abstractNumId="37">
    <w:nsid w:val="F72BC498"/>
    <w:multiLevelType w:val="multilevel"/>
    <w:tmpl w:val="F72BC498"/>
    <w:lvl w:ilvl="0" w:tentative="0">
      <w:start w:val="1"/>
      <w:numFmt w:val="chineseCounting"/>
      <w:suff w:val="space"/>
      <w:lvlText w:val="第%1条"/>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9">
    <w:nsid w:val="06247AAE"/>
    <w:multiLevelType w:val="multilevel"/>
    <w:tmpl w:val="06247AAE"/>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41">
    <w:nsid w:val="084A6179"/>
    <w:multiLevelType w:val="singleLevel"/>
    <w:tmpl w:val="084A6179"/>
    <w:lvl w:ilvl="0" w:tentative="0">
      <w:start w:val="1"/>
      <w:numFmt w:val="decimal"/>
      <w:suff w:val="nothing"/>
      <w:lvlText w:val="（%1）"/>
      <w:lvlJc w:val="left"/>
    </w:lvl>
  </w:abstractNum>
  <w:abstractNum w:abstractNumId="4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6">
    <w:nsid w:val="167B0BB4"/>
    <w:multiLevelType w:val="singleLevel"/>
    <w:tmpl w:val="167B0BB4"/>
    <w:lvl w:ilvl="0" w:tentative="0">
      <w:start w:val="1"/>
      <w:numFmt w:val="decimal"/>
      <w:suff w:val="nothing"/>
      <w:lvlText w:val="（%1）"/>
      <w:lvlJc w:val="left"/>
    </w:lvl>
  </w:abstractNum>
  <w:abstractNum w:abstractNumId="4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9">
    <w:nsid w:val="1A14F15A"/>
    <w:multiLevelType w:val="multilevel"/>
    <w:tmpl w:val="1A14F15A"/>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51">
    <w:nsid w:val="2CB63BE6"/>
    <w:multiLevelType w:val="singleLevel"/>
    <w:tmpl w:val="2CB63BE6"/>
    <w:lvl w:ilvl="0" w:tentative="0">
      <w:start w:val="1"/>
      <w:numFmt w:val="decimal"/>
      <w:suff w:val="nothing"/>
      <w:lvlText w:val="（%1）"/>
      <w:lvlJc w:val="left"/>
      <w:rPr>
        <w:rFonts w:hint="default"/>
        <w:b w:val="0"/>
        <w:bCs w:val="0"/>
      </w:rPr>
    </w:lvl>
  </w:abstractNum>
  <w:abstractNum w:abstractNumId="52">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3">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4">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6">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7">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8">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9">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60">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1">
    <w:nsid w:val="531AE820"/>
    <w:multiLevelType w:val="multilevel"/>
    <w:tmpl w:val="531AE820"/>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3">
    <w:nsid w:val="5BA91325"/>
    <w:multiLevelType w:val="singleLevel"/>
    <w:tmpl w:val="5BA91325"/>
    <w:lvl w:ilvl="0" w:tentative="0">
      <w:start w:val="1"/>
      <w:numFmt w:val="decimal"/>
      <w:suff w:val="nothing"/>
      <w:lvlText w:val="（%1）"/>
      <w:lvlJc w:val="left"/>
    </w:lvl>
  </w:abstractNum>
  <w:abstractNum w:abstractNumId="64">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5">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6">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7">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8">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9">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70">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71">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2">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3">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4">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5">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6">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7">
    <w:nsid w:val="60C04B1D"/>
    <w:multiLevelType w:val="singleLevel"/>
    <w:tmpl w:val="60C04B1D"/>
    <w:lvl w:ilvl="0" w:tentative="0">
      <w:start w:val="1"/>
      <w:numFmt w:val="decimal"/>
      <w:suff w:val="nothing"/>
      <w:lvlText w:val="%1．"/>
      <w:lvlJc w:val="left"/>
      <w:pPr>
        <w:ind w:left="0" w:firstLine="400"/>
      </w:pPr>
      <w:rPr>
        <w:rFonts w:hint="default"/>
      </w:rPr>
    </w:lvl>
  </w:abstractNum>
  <w:abstractNum w:abstractNumId="78">
    <w:nsid w:val="61F30F62"/>
    <w:multiLevelType w:val="singleLevel"/>
    <w:tmpl w:val="61F30F62"/>
    <w:lvl w:ilvl="0" w:tentative="0">
      <w:start w:val="1"/>
      <w:numFmt w:val="decimal"/>
      <w:suff w:val="nothing"/>
      <w:lvlText w:val="（%1）"/>
      <w:lvlJc w:val="left"/>
      <w:rPr>
        <w:rFonts w:hint="default"/>
        <w:b w:val="0"/>
        <w:bCs w:val="0"/>
      </w:rPr>
    </w:lvl>
  </w:abstractNum>
  <w:abstractNum w:abstractNumId="79">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0">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1">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5"/>
  </w:num>
  <w:num w:numId="4">
    <w:abstractNumId w:val="48"/>
  </w:num>
  <w:num w:numId="5">
    <w:abstractNumId w:val="22"/>
  </w:num>
  <w:num w:numId="6">
    <w:abstractNumId w:val="80"/>
  </w:num>
  <w:num w:numId="7">
    <w:abstractNumId w:val="42"/>
  </w:num>
  <w:num w:numId="8">
    <w:abstractNumId w:val="81"/>
  </w:num>
  <w:num w:numId="9">
    <w:abstractNumId w:val="60"/>
  </w:num>
  <w:num w:numId="10">
    <w:abstractNumId w:val="57"/>
  </w:num>
  <w:num w:numId="11">
    <w:abstractNumId w:val="38"/>
  </w:num>
  <w:num w:numId="12">
    <w:abstractNumId w:val="32"/>
  </w:num>
  <w:num w:numId="13">
    <w:abstractNumId w:val="44"/>
  </w:num>
  <w:num w:numId="14">
    <w:abstractNumId w:val="31"/>
  </w:num>
  <w:num w:numId="15">
    <w:abstractNumId w:val="23"/>
  </w:num>
  <w:num w:numId="16">
    <w:abstractNumId w:val="13"/>
  </w:num>
  <w:num w:numId="17">
    <w:abstractNumId w:val="10"/>
  </w:num>
  <w:num w:numId="18">
    <w:abstractNumId w:val="11"/>
  </w:num>
  <w:num w:numId="19">
    <w:abstractNumId w:val="9"/>
  </w:num>
  <w:num w:numId="20">
    <w:abstractNumId w:val="43"/>
  </w:num>
  <w:num w:numId="21">
    <w:abstractNumId w:val="7"/>
  </w:num>
  <w:num w:numId="22">
    <w:abstractNumId w:val="2"/>
  </w:num>
  <w:num w:numId="23">
    <w:abstractNumId w:val="56"/>
  </w:num>
  <w:num w:numId="24">
    <w:abstractNumId w:val="36"/>
  </w:num>
  <w:num w:numId="25">
    <w:abstractNumId w:val="63"/>
  </w:num>
  <w:num w:numId="26">
    <w:abstractNumId w:val="21"/>
  </w:num>
  <w:num w:numId="27">
    <w:abstractNumId w:val="50"/>
  </w:num>
  <w:num w:numId="28">
    <w:abstractNumId w:val="25"/>
  </w:num>
  <w:num w:numId="29">
    <w:abstractNumId w:val="8"/>
  </w:num>
  <w:num w:numId="30">
    <w:abstractNumId w:val="59"/>
  </w:num>
  <w:num w:numId="31">
    <w:abstractNumId w:val="6"/>
  </w:num>
  <w:num w:numId="32">
    <w:abstractNumId w:val="41"/>
  </w:num>
  <w:num w:numId="33">
    <w:abstractNumId w:val="35"/>
  </w:num>
  <w:num w:numId="34">
    <w:abstractNumId w:val="47"/>
  </w:num>
  <w:num w:numId="35">
    <w:abstractNumId w:val="79"/>
  </w:num>
  <w:num w:numId="36">
    <w:abstractNumId w:val="40"/>
  </w:num>
  <w:num w:numId="37">
    <w:abstractNumId w:val="24"/>
  </w:num>
  <w:num w:numId="38">
    <w:abstractNumId w:val="52"/>
  </w:num>
  <w:num w:numId="39">
    <w:abstractNumId w:val="0"/>
  </w:num>
  <w:num w:numId="40">
    <w:abstractNumId w:val="27"/>
  </w:num>
  <w:num w:numId="41">
    <w:abstractNumId w:val="54"/>
  </w:num>
  <w:num w:numId="42">
    <w:abstractNumId w:val="4"/>
  </w:num>
  <w:num w:numId="43">
    <w:abstractNumId w:val="28"/>
  </w:num>
  <w:num w:numId="44">
    <w:abstractNumId w:val="19"/>
  </w:num>
  <w:num w:numId="45">
    <w:abstractNumId w:val="58"/>
  </w:num>
  <w:num w:numId="46">
    <w:abstractNumId w:val="45"/>
  </w:num>
  <w:num w:numId="47">
    <w:abstractNumId w:val="20"/>
  </w:num>
  <w:num w:numId="48">
    <w:abstractNumId w:val="34"/>
  </w:num>
  <w:num w:numId="49">
    <w:abstractNumId w:val="29"/>
  </w:num>
  <w:num w:numId="50">
    <w:abstractNumId w:val="30"/>
  </w:num>
  <w:num w:numId="51">
    <w:abstractNumId w:val="78"/>
  </w:num>
  <w:num w:numId="52">
    <w:abstractNumId w:val="51"/>
  </w:num>
  <w:num w:numId="53">
    <w:abstractNumId w:val="3"/>
  </w:num>
  <w:num w:numId="54">
    <w:abstractNumId w:val="62"/>
  </w:num>
  <w:num w:numId="55">
    <w:abstractNumId w:val="12"/>
  </w:num>
  <w:num w:numId="56">
    <w:abstractNumId w:val="14"/>
  </w:num>
  <w:num w:numId="57">
    <w:abstractNumId w:val="46"/>
  </w:num>
  <w:num w:numId="58">
    <w:abstractNumId w:val="26"/>
  </w:num>
  <w:num w:numId="59">
    <w:abstractNumId w:val="5"/>
  </w:num>
  <w:num w:numId="60">
    <w:abstractNumId w:val="53"/>
  </w:num>
  <w:num w:numId="61">
    <w:abstractNumId w:val="71"/>
  </w:num>
  <w:num w:numId="62">
    <w:abstractNumId w:val="70"/>
  </w:num>
  <w:num w:numId="63">
    <w:abstractNumId w:val="72"/>
  </w:num>
  <w:num w:numId="64">
    <w:abstractNumId w:val="73"/>
  </w:num>
  <w:num w:numId="65">
    <w:abstractNumId w:val="74"/>
  </w:num>
  <w:num w:numId="66">
    <w:abstractNumId w:val="75"/>
  </w:num>
  <w:num w:numId="67">
    <w:abstractNumId w:val="76"/>
  </w:num>
  <w:num w:numId="68">
    <w:abstractNumId w:val="77"/>
  </w:num>
  <w:num w:numId="69">
    <w:abstractNumId w:val="17"/>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37"/>
  </w:num>
  <w:num w:numId="77">
    <w:abstractNumId w:val="18"/>
  </w:num>
  <w:num w:numId="78">
    <w:abstractNumId w:val="15"/>
  </w:num>
  <w:num w:numId="79">
    <w:abstractNumId w:val="61"/>
  </w:num>
  <w:num w:numId="80">
    <w:abstractNumId w:val="33"/>
  </w:num>
  <w:num w:numId="81">
    <w:abstractNumId w:val="49"/>
  </w:num>
  <w:num w:numId="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9B438F"/>
    <w:rsid w:val="00003A66"/>
    <w:rsid w:val="000E1AA5"/>
    <w:rsid w:val="00166DFA"/>
    <w:rsid w:val="002D3C1F"/>
    <w:rsid w:val="002E65C3"/>
    <w:rsid w:val="002F0E18"/>
    <w:rsid w:val="003044A5"/>
    <w:rsid w:val="00393DAD"/>
    <w:rsid w:val="003A71DB"/>
    <w:rsid w:val="003D29D7"/>
    <w:rsid w:val="00442CD1"/>
    <w:rsid w:val="004C578D"/>
    <w:rsid w:val="004C6A6B"/>
    <w:rsid w:val="004F4BE6"/>
    <w:rsid w:val="005B6589"/>
    <w:rsid w:val="00640FF7"/>
    <w:rsid w:val="0064747F"/>
    <w:rsid w:val="006737C6"/>
    <w:rsid w:val="006A3440"/>
    <w:rsid w:val="007129D3"/>
    <w:rsid w:val="0076204A"/>
    <w:rsid w:val="0077381C"/>
    <w:rsid w:val="007A1DCD"/>
    <w:rsid w:val="007A36F7"/>
    <w:rsid w:val="007D1184"/>
    <w:rsid w:val="007D5CCB"/>
    <w:rsid w:val="00804B5C"/>
    <w:rsid w:val="008B03C3"/>
    <w:rsid w:val="009B438F"/>
    <w:rsid w:val="009C4A56"/>
    <w:rsid w:val="00A73D87"/>
    <w:rsid w:val="00AC3605"/>
    <w:rsid w:val="00AF46E8"/>
    <w:rsid w:val="00B222AE"/>
    <w:rsid w:val="00B9516F"/>
    <w:rsid w:val="00BA0709"/>
    <w:rsid w:val="00C23378"/>
    <w:rsid w:val="00C45591"/>
    <w:rsid w:val="00C66BF1"/>
    <w:rsid w:val="00CA3066"/>
    <w:rsid w:val="00CC7FA3"/>
    <w:rsid w:val="00CE2D43"/>
    <w:rsid w:val="00CF08DA"/>
    <w:rsid w:val="00D166DD"/>
    <w:rsid w:val="00D25AB9"/>
    <w:rsid w:val="00E22ABF"/>
    <w:rsid w:val="00ED0A60"/>
    <w:rsid w:val="00F57713"/>
    <w:rsid w:val="00F72076"/>
    <w:rsid w:val="00F946DA"/>
    <w:rsid w:val="00FF3196"/>
    <w:rsid w:val="013F348C"/>
    <w:rsid w:val="01506757"/>
    <w:rsid w:val="01AC61C7"/>
    <w:rsid w:val="02C56491"/>
    <w:rsid w:val="02E6061C"/>
    <w:rsid w:val="03057DA8"/>
    <w:rsid w:val="03087EF2"/>
    <w:rsid w:val="033834FA"/>
    <w:rsid w:val="035D4C68"/>
    <w:rsid w:val="03B9593D"/>
    <w:rsid w:val="03FF6EB3"/>
    <w:rsid w:val="04B12F42"/>
    <w:rsid w:val="05256BB3"/>
    <w:rsid w:val="055F097A"/>
    <w:rsid w:val="057C30DE"/>
    <w:rsid w:val="06163192"/>
    <w:rsid w:val="06981D27"/>
    <w:rsid w:val="06B269B2"/>
    <w:rsid w:val="06C7635F"/>
    <w:rsid w:val="06E1020B"/>
    <w:rsid w:val="075D44AD"/>
    <w:rsid w:val="07FA1566"/>
    <w:rsid w:val="08A4146A"/>
    <w:rsid w:val="08C360C7"/>
    <w:rsid w:val="08E42E50"/>
    <w:rsid w:val="0A7B49BB"/>
    <w:rsid w:val="0A935EF5"/>
    <w:rsid w:val="0AA417AC"/>
    <w:rsid w:val="0B260BA0"/>
    <w:rsid w:val="0D1F34C2"/>
    <w:rsid w:val="0E9E1147"/>
    <w:rsid w:val="0F101232"/>
    <w:rsid w:val="0F1B1CDF"/>
    <w:rsid w:val="11D31818"/>
    <w:rsid w:val="12174307"/>
    <w:rsid w:val="12333100"/>
    <w:rsid w:val="12454A4F"/>
    <w:rsid w:val="124564AE"/>
    <w:rsid w:val="128168A6"/>
    <w:rsid w:val="129E1BE0"/>
    <w:rsid w:val="12E07D70"/>
    <w:rsid w:val="13131DA1"/>
    <w:rsid w:val="136E0620"/>
    <w:rsid w:val="13C152DA"/>
    <w:rsid w:val="14322796"/>
    <w:rsid w:val="145A1074"/>
    <w:rsid w:val="14B00FE7"/>
    <w:rsid w:val="153B1E8B"/>
    <w:rsid w:val="154916F7"/>
    <w:rsid w:val="15A261BD"/>
    <w:rsid w:val="168270F1"/>
    <w:rsid w:val="171B35F5"/>
    <w:rsid w:val="17F017D0"/>
    <w:rsid w:val="17F04243"/>
    <w:rsid w:val="18A36CBE"/>
    <w:rsid w:val="191E1C2C"/>
    <w:rsid w:val="193D7EF6"/>
    <w:rsid w:val="19DA4611"/>
    <w:rsid w:val="1A1072B9"/>
    <w:rsid w:val="1A6D275B"/>
    <w:rsid w:val="1A8A5680"/>
    <w:rsid w:val="1AAA0EA5"/>
    <w:rsid w:val="1AB60268"/>
    <w:rsid w:val="1AD94F44"/>
    <w:rsid w:val="1B5D775D"/>
    <w:rsid w:val="1BBC4C1D"/>
    <w:rsid w:val="1BC4107F"/>
    <w:rsid w:val="1BCC1600"/>
    <w:rsid w:val="1BCF2401"/>
    <w:rsid w:val="1D6377A3"/>
    <w:rsid w:val="1D684FA1"/>
    <w:rsid w:val="1E40675F"/>
    <w:rsid w:val="1E491F68"/>
    <w:rsid w:val="1E59639F"/>
    <w:rsid w:val="1FFE089E"/>
    <w:rsid w:val="20471D5B"/>
    <w:rsid w:val="208F3E36"/>
    <w:rsid w:val="2124686F"/>
    <w:rsid w:val="220646EB"/>
    <w:rsid w:val="223B5F90"/>
    <w:rsid w:val="22FB4603"/>
    <w:rsid w:val="232C1CB8"/>
    <w:rsid w:val="233D769F"/>
    <w:rsid w:val="23FC2310"/>
    <w:rsid w:val="24205153"/>
    <w:rsid w:val="24E03695"/>
    <w:rsid w:val="25C17FCD"/>
    <w:rsid w:val="25EA04D5"/>
    <w:rsid w:val="281770B3"/>
    <w:rsid w:val="28320B3B"/>
    <w:rsid w:val="2A59045A"/>
    <w:rsid w:val="2A6E0D5F"/>
    <w:rsid w:val="2B742663"/>
    <w:rsid w:val="2C0E71D1"/>
    <w:rsid w:val="2C5554F7"/>
    <w:rsid w:val="2C862571"/>
    <w:rsid w:val="2DFB2EF6"/>
    <w:rsid w:val="2E261F1A"/>
    <w:rsid w:val="2E8138EA"/>
    <w:rsid w:val="2E913B62"/>
    <w:rsid w:val="2EB41C6F"/>
    <w:rsid w:val="2F181C5A"/>
    <w:rsid w:val="2F9E20CB"/>
    <w:rsid w:val="2FBF5CD2"/>
    <w:rsid w:val="2FD37470"/>
    <w:rsid w:val="2FDB5551"/>
    <w:rsid w:val="2FE44B05"/>
    <w:rsid w:val="3095731D"/>
    <w:rsid w:val="30BF5F58"/>
    <w:rsid w:val="315B60C0"/>
    <w:rsid w:val="31B210D3"/>
    <w:rsid w:val="31BB1354"/>
    <w:rsid w:val="326768D3"/>
    <w:rsid w:val="326A10CD"/>
    <w:rsid w:val="32ED4F6C"/>
    <w:rsid w:val="332D0E7F"/>
    <w:rsid w:val="336619B2"/>
    <w:rsid w:val="34232CC7"/>
    <w:rsid w:val="3440644A"/>
    <w:rsid w:val="3487111E"/>
    <w:rsid w:val="348E7125"/>
    <w:rsid w:val="34EC5219"/>
    <w:rsid w:val="35970682"/>
    <w:rsid w:val="35F62B74"/>
    <w:rsid w:val="36407394"/>
    <w:rsid w:val="36923A68"/>
    <w:rsid w:val="370967DB"/>
    <w:rsid w:val="376022E0"/>
    <w:rsid w:val="3823292D"/>
    <w:rsid w:val="384020D6"/>
    <w:rsid w:val="38442C94"/>
    <w:rsid w:val="38C830CF"/>
    <w:rsid w:val="38D214D0"/>
    <w:rsid w:val="39150A2D"/>
    <w:rsid w:val="393A0374"/>
    <w:rsid w:val="39541C21"/>
    <w:rsid w:val="3A054187"/>
    <w:rsid w:val="3A095F2A"/>
    <w:rsid w:val="3AA21C04"/>
    <w:rsid w:val="3B87167D"/>
    <w:rsid w:val="3B8E7780"/>
    <w:rsid w:val="3B9F7C84"/>
    <w:rsid w:val="3BA4528F"/>
    <w:rsid w:val="3C047DBA"/>
    <w:rsid w:val="3C2D1BA7"/>
    <w:rsid w:val="3CBB5391"/>
    <w:rsid w:val="3CBF3288"/>
    <w:rsid w:val="3DCE2845"/>
    <w:rsid w:val="3DDD184B"/>
    <w:rsid w:val="3DFA4C2B"/>
    <w:rsid w:val="3E33309B"/>
    <w:rsid w:val="3E360D1A"/>
    <w:rsid w:val="3FE01342"/>
    <w:rsid w:val="41BD5DAD"/>
    <w:rsid w:val="42A92EC5"/>
    <w:rsid w:val="430D4A5B"/>
    <w:rsid w:val="43257A09"/>
    <w:rsid w:val="44396CBA"/>
    <w:rsid w:val="452265F1"/>
    <w:rsid w:val="459C6C4B"/>
    <w:rsid w:val="460B14AF"/>
    <w:rsid w:val="465B4CE4"/>
    <w:rsid w:val="473B0C45"/>
    <w:rsid w:val="47F45F70"/>
    <w:rsid w:val="4831505A"/>
    <w:rsid w:val="48DB2B8E"/>
    <w:rsid w:val="48EF15E9"/>
    <w:rsid w:val="493E1BAF"/>
    <w:rsid w:val="49604725"/>
    <w:rsid w:val="49C17910"/>
    <w:rsid w:val="49D25AD8"/>
    <w:rsid w:val="49F71D99"/>
    <w:rsid w:val="4B2332BE"/>
    <w:rsid w:val="4BD12A69"/>
    <w:rsid w:val="4CD51818"/>
    <w:rsid w:val="4EA70A5E"/>
    <w:rsid w:val="4F8E67E2"/>
    <w:rsid w:val="4FBA1A9A"/>
    <w:rsid w:val="4FED75DB"/>
    <w:rsid w:val="502F0130"/>
    <w:rsid w:val="504F24FD"/>
    <w:rsid w:val="50A2700E"/>
    <w:rsid w:val="50E57BA7"/>
    <w:rsid w:val="51045620"/>
    <w:rsid w:val="513D37D3"/>
    <w:rsid w:val="51B2472A"/>
    <w:rsid w:val="52E031AE"/>
    <w:rsid w:val="5349526F"/>
    <w:rsid w:val="53582F2C"/>
    <w:rsid w:val="539B3597"/>
    <w:rsid w:val="54133BA2"/>
    <w:rsid w:val="545569C2"/>
    <w:rsid w:val="54C0519D"/>
    <w:rsid w:val="54F51D94"/>
    <w:rsid w:val="550B034E"/>
    <w:rsid w:val="55637989"/>
    <w:rsid w:val="55A2165A"/>
    <w:rsid w:val="55B552A3"/>
    <w:rsid w:val="56046817"/>
    <w:rsid w:val="56BD160D"/>
    <w:rsid w:val="56EB3785"/>
    <w:rsid w:val="57646F3E"/>
    <w:rsid w:val="578503B5"/>
    <w:rsid w:val="57950210"/>
    <w:rsid w:val="57CB1FAC"/>
    <w:rsid w:val="57DA296D"/>
    <w:rsid w:val="58CF099D"/>
    <w:rsid w:val="59363CFF"/>
    <w:rsid w:val="597623E9"/>
    <w:rsid w:val="59FE6F81"/>
    <w:rsid w:val="5A057054"/>
    <w:rsid w:val="5A2B707C"/>
    <w:rsid w:val="5A4C2FE7"/>
    <w:rsid w:val="5A531440"/>
    <w:rsid w:val="5B15081B"/>
    <w:rsid w:val="5B8B60EF"/>
    <w:rsid w:val="5C9144A3"/>
    <w:rsid w:val="5CE14462"/>
    <w:rsid w:val="5D27673D"/>
    <w:rsid w:val="5D626B02"/>
    <w:rsid w:val="5DCD740A"/>
    <w:rsid w:val="5FD63A81"/>
    <w:rsid w:val="604163BF"/>
    <w:rsid w:val="60C40191"/>
    <w:rsid w:val="61AC2F45"/>
    <w:rsid w:val="624E5FB7"/>
    <w:rsid w:val="62820573"/>
    <w:rsid w:val="62A17B5D"/>
    <w:rsid w:val="64452B02"/>
    <w:rsid w:val="66BF7375"/>
    <w:rsid w:val="66C6361E"/>
    <w:rsid w:val="67435E26"/>
    <w:rsid w:val="69124CA8"/>
    <w:rsid w:val="69560A53"/>
    <w:rsid w:val="695702B6"/>
    <w:rsid w:val="695D4C3C"/>
    <w:rsid w:val="69663DDA"/>
    <w:rsid w:val="69B13850"/>
    <w:rsid w:val="6A30472B"/>
    <w:rsid w:val="6A86734A"/>
    <w:rsid w:val="6ACD3040"/>
    <w:rsid w:val="6B48258D"/>
    <w:rsid w:val="6B8F22D3"/>
    <w:rsid w:val="6BFD68DC"/>
    <w:rsid w:val="6CE85879"/>
    <w:rsid w:val="6E195A0F"/>
    <w:rsid w:val="6E4A3368"/>
    <w:rsid w:val="6EE9042F"/>
    <w:rsid w:val="6FE8145F"/>
    <w:rsid w:val="717578CD"/>
    <w:rsid w:val="722C3321"/>
    <w:rsid w:val="724816D4"/>
    <w:rsid w:val="72700AEF"/>
    <w:rsid w:val="72F173CC"/>
    <w:rsid w:val="730160BC"/>
    <w:rsid w:val="73CF291C"/>
    <w:rsid w:val="744C7A35"/>
    <w:rsid w:val="747A10DC"/>
    <w:rsid w:val="749F4B48"/>
    <w:rsid w:val="74EC4F2E"/>
    <w:rsid w:val="76BE790B"/>
    <w:rsid w:val="77CD5FF0"/>
    <w:rsid w:val="786F6F04"/>
    <w:rsid w:val="78952220"/>
    <w:rsid w:val="789E4A32"/>
    <w:rsid w:val="78CF2EBB"/>
    <w:rsid w:val="78FB702E"/>
    <w:rsid w:val="79226ABA"/>
    <w:rsid w:val="79EF5ADB"/>
    <w:rsid w:val="7A411479"/>
    <w:rsid w:val="7AA50728"/>
    <w:rsid w:val="7AC85BBB"/>
    <w:rsid w:val="7B2B4781"/>
    <w:rsid w:val="7BD76E44"/>
    <w:rsid w:val="7BFB4DC6"/>
    <w:rsid w:val="7C37270D"/>
    <w:rsid w:val="7CFD2AF6"/>
    <w:rsid w:val="7D49351C"/>
    <w:rsid w:val="7DFC6C39"/>
    <w:rsid w:val="7E5E2930"/>
    <w:rsid w:val="7F003281"/>
    <w:rsid w:val="7F8B2F2B"/>
    <w:rsid w:val="7F9B35E8"/>
    <w:rsid w:val="7FC308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rPr>
      <w:rFonts w:cs="Times New Roman"/>
    </w:rPr>
  </w:style>
  <w:style w:type="paragraph" w:styleId="3">
    <w:name w:val="Balloon Text"/>
    <w:basedOn w:val="1"/>
    <w:link w:val="15"/>
    <w:qFormat/>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 w:type="paragraph" w:styleId="7">
    <w:name w:val="annotation subject"/>
    <w:basedOn w:val="2"/>
    <w:next w:val="2"/>
    <w:link w:val="16"/>
    <w:qFormat/>
    <w:uiPriority w:val="0"/>
    <w:rPr>
      <w:rFonts w:cs="Times New Roman"/>
      <w:b/>
      <w:b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List Paragraph"/>
    <w:basedOn w:val="1"/>
    <w:unhideWhenUsed/>
    <w:uiPriority w:val="99"/>
    <w:pPr>
      <w:ind w:firstLine="420" w:firstLineChars="200"/>
    </w:p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character" w:customStyle="1" w:styleId="14">
    <w:name w:val="批注文字 Char"/>
    <w:link w:val="2"/>
    <w:qFormat/>
    <w:uiPriority w:val="0"/>
    <w:rPr>
      <w:rFonts w:ascii="Calibri" w:hAnsi="Calibri" w:cs="黑体"/>
      <w:kern w:val="2"/>
      <w:sz w:val="21"/>
      <w:szCs w:val="24"/>
    </w:rPr>
  </w:style>
  <w:style w:type="character" w:customStyle="1" w:styleId="15">
    <w:name w:val="批注框文本 Char"/>
    <w:link w:val="3"/>
    <w:qFormat/>
    <w:uiPriority w:val="0"/>
    <w:rPr>
      <w:rFonts w:ascii="Calibri" w:hAnsi="Calibri" w:cs="黑体"/>
      <w:kern w:val="2"/>
      <w:sz w:val="18"/>
      <w:szCs w:val="18"/>
    </w:rPr>
  </w:style>
  <w:style w:type="character" w:customStyle="1" w:styleId="16">
    <w:name w:val="批注主题 Char"/>
    <w:link w:val="7"/>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33753</Words>
  <Characters>35491</Characters>
  <Lines>192</Lines>
  <Paragraphs>54</Paragraphs>
  <TotalTime>1</TotalTime>
  <ScaleCrop>false</ScaleCrop>
  <LinksUpToDate>false</LinksUpToDate>
  <CharactersWithSpaces>35687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2025-03-24T05:38:27Z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61FD4ADC46284EF3806319F67B20504A</vt:lpwstr>
  </property>
  <property fmtid="{D5CDD505-2E9C-101B-9397-08002B2CF9AE}" pid="4" name="commondata">
    <vt:lpwstr>eyJoZGlkIjoiMGRhYjRlZDVkMGNhZWM2ZDc0NWIwYmZiZDBhZDllMzMifQ==</vt:lpwstr>
  </property>
  <property fmtid="{D5CDD505-2E9C-101B-9397-08002B2CF9AE}" pid="5" name="KSOTemplateDocerSaveRecord">
    <vt:lpwstr>eyJoZGlkIjoiMGRhYjRlZDVkMGNhZWM2ZDc0NWIwYmZiZDBhZDllMzMiLCJ1c2VySWQiOiIyNjQ1NjIxNDcifQ==</vt:lpwstr>
  </property>
</Properties>
</file>