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幸福99添益(安享优选)90天持有期2期理财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幸福99添益(安享优选)90天持有期2期理财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幸福99添益(安享优选)90天持有期2期理财风险揭示书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幸福99添益(安享优选)90天持有期2期理财产品说明书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cs="宋体"/>
          <w:b/>
          <w:highlight w:val="none"/>
          <w:lang w:eastAsia="zh-CN"/>
        </w:rPr>
        <w:t>幸福99添益(安享优选)90天持有期2期理财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幸福99添益(安享优选)90天持有期2期理财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宋体" w:cs="宋体"/>
          <w:bCs/>
          <w:sz w:val="24"/>
          <w:highlight w:val="none"/>
          <w:lang w:val="en-US" w:eastAsia="zh-CN"/>
        </w:rPr>
        <w:t>Z7002224000113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ww.hzbank.com.cn，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指作为幸福99添益(安享优选)90天持有期2期理财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lang w:eastAsia="zh-CN"/>
              </w:rPr>
              <w:t>幸福99添益(安享优选)90天持有期2期理财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添益(安享优选)90天持有期2期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TYGC90D2406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本理财计划在全国银行业理财信息登记系统的登记编码是〖Z7002224000113〗，投资者可依据该编码在“中国理财网（www.chinawealth.com.cn）”查询本理财计划信息。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其中：</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A份额（销售代码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C90D2406A</w:t>
            </w:r>
            <w:r>
              <w:rPr>
                <w:rFonts w:hint="eastAsia" w:ascii="宋体" w:hAnsi="宋体" w:cs="宋体"/>
                <w:b w:val="0"/>
                <w:bCs/>
                <w:sz w:val="21"/>
                <w:szCs w:val="21"/>
                <w:highlight w:val="none"/>
              </w:rPr>
              <w:t>〗</w:t>
            </w:r>
            <w:r>
              <w:rPr>
                <w:rFonts w:ascii="宋体" w:hAnsi="宋体" w:cs="宋体"/>
                <w:bCs/>
                <w:sz w:val="21"/>
                <w:szCs w:val="21"/>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B份额（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C90D2406B</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C份额（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C90D2406C</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D份额（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C90D2406D</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W份额（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C90D2406W</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default" w:ascii="宋体" w:hAnsi="宋体" w:cs="宋体"/>
                <w:bCs/>
                <w:sz w:val="21"/>
                <w:szCs w:val="21"/>
                <w:lang w:val="en-US" w:eastAsia="zh-CN"/>
              </w:rPr>
            </w:pPr>
            <w:r>
              <w:rPr>
                <w:rFonts w:hint="eastAsia" w:ascii="宋体" w:hAnsi="宋体" w:cs="宋体"/>
                <w:bCs/>
                <w:sz w:val="21"/>
                <w:szCs w:val="21"/>
                <w:lang w:val="en-US" w:eastAsia="zh-CN"/>
              </w:rPr>
              <w:t>P份额</w:t>
            </w:r>
            <w:r>
              <w:rPr>
                <w:rFonts w:hint="eastAsia" w:ascii="宋体" w:hAnsi="宋体" w:cs="宋体"/>
                <w:sz w:val="21"/>
                <w:szCs w:val="21"/>
                <w:highlight w:val="none"/>
                <w:lang w:val="en-US" w:eastAsia="zh-CN"/>
              </w:rPr>
              <w:t>（芙蓉锦程·优选）</w:t>
            </w:r>
            <w:r>
              <w:rPr>
                <w:rFonts w:hint="eastAsia" w:ascii="宋体" w:hAnsi="宋体" w:cs="宋体"/>
                <w:bCs/>
                <w:sz w:val="21"/>
                <w:szCs w:val="21"/>
                <w:lang w:val="en-US" w:eastAsia="zh-CN"/>
              </w:rPr>
              <w:t>（</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C90D2406P</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rPr>
              <w:t>〖</w:t>
            </w:r>
            <w:r>
              <w:rPr>
                <w:rFonts w:hint="eastAsia" w:ascii="宋体" w:hAnsi="宋体" w:cs="宋体"/>
                <w:bCs/>
                <w:sz w:val="21"/>
                <w:szCs w:val="21"/>
              </w:rPr>
              <w:t>A份额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bCs/>
                <w:sz w:val="21"/>
                <w:szCs w:val="21"/>
              </w:rPr>
              <w:t>A份额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color w:val="000000"/>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1.80%-2.70%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1.80%-2.70%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1.80%-2.70%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1.70%-2.60%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1.80%-2.70%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同业存单、存款、信用债等资产，根据当前市场环境，拟投资产收益率在1.40%-2.90%左右，同时根据流动性管理需要和监管要求配置不低于5%的高流动性资产。综合来看，扣除相关税费成本后，</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A份额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B</w:t>
            </w:r>
            <w:r>
              <w:rPr>
                <w:rFonts w:hint="eastAsia" w:ascii="宋体" w:hAnsi="宋体" w:cs="宋体"/>
                <w:b/>
                <w:bCs/>
                <w:sz w:val="21"/>
                <w:szCs w:val="21"/>
                <w:highlight w:val="none"/>
              </w:rPr>
              <w:t>份额〗</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D</w:t>
            </w:r>
            <w:r>
              <w:rPr>
                <w:rFonts w:hint="eastAsia" w:ascii="宋体" w:hAnsi="宋体" w:cs="宋体"/>
                <w:b/>
                <w:bCs/>
                <w:sz w:val="21"/>
                <w:szCs w:val="21"/>
                <w:highlight w:val="none"/>
              </w:rPr>
              <w:t>份额〗</w:t>
            </w:r>
            <w:r>
              <w:rPr>
                <w:rFonts w:hint="eastAsia" w:ascii="宋体" w:hAnsi="宋体" w:cs="宋体"/>
                <w:b/>
                <w:bCs/>
                <w:sz w:val="21"/>
                <w:szCs w:val="21"/>
                <w:highlight w:val="none"/>
                <w:lang w:val="en-US" w:eastAsia="zh-CN"/>
              </w:rPr>
              <w:t>和</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P</w:t>
            </w:r>
            <w:r>
              <w:rPr>
                <w:rFonts w:hint="eastAsia" w:ascii="宋体" w:hAnsi="宋体" w:cs="宋体"/>
                <w:b/>
                <w:bCs/>
                <w:sz w:val="21"/>
                <w:szCs w:val="21"/>
                <w:highlight w:val="none"/>
              </w:rPr>
              <w:t>份额〗</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1.80%</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C份额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1.90%</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W份额</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投资者可获得收益率的中枢</w:t>
            </w:r>
            <w:r>
              <w:rPr>
                <w:rFonts w:hint="eastAsia" w:ascii="宋体" w:hAnsi="宋体" w:cs="宋体"/>
                <w:b/>
                <w:bCs/>
                <w:sz w:val="21"/>
                <w:szCs w:val="21"/>
                <w:highlight w:val="none"/>
                <w:lang w:val="en-US" w:eastAsia="zh-CN"/>
              </w:rPr>
              <w:t>预计在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1.70%</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rPr>
              <w:t>〖A份额〗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rPr>
              <w:t>〖A份额〗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 w:val="21"/>
                <w:szCs w:val="21"/>
                <w:highlight w:val="none"/>
              </w:rPr>
            </w:pPr>
          </w:p>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销售机构信息</w:t>
            </w:r>
          </w:p>
        </w:tc>
        <w:tc>
          <w:tcPr>
            <w:tcW w:w="2618" w:type="dxa"/>
            <w:vMerge w:val="restart"/>
            <w:noWrap w:val="0"/>
            <w:vAlign w:val="center"/>
          </w:tcPr>
          <w:p>
            <w:pPr>
              <w:spacing w:line="360" w:lineRule="auto"/>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rPr>
              <w:t>杭州银行股份有限公司</w:t>
            </w:r>
          </w:p>
        </w:tc>
        <w:tc>
          <w:tcPr>
            <w:tcW w:w="118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住所</w:t>
            </w:r>
          </w:p>
        </w:tc>
        <w:tc>
          <w:tcPr>
            <w:tcW w:w="3042" w:type="dxa"/>
            <w:noWrap w:val="0"/>
            <w:vAlign w:val="center"/>
          </w:tcPr>
          <w:p>
            <w:pPr>
              <w:spacing w:line="360" w:lineRule="auto"/>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spacing w:line="360" w:lineRule="auto"/>
              <w:jc w:val="center"/>
              <w:rPr>
                <w:rFonts w:hint="eastAsia" w:ascii="宋体" w:hAnsi="宋体" w:cs="宋体"/>
                <w:bCs/>
                <w:sz w:val="21"/>
                <w:szCs w:val="21"/>
                <w:highlight w:val="none"/>
              </w:rPr>
            </w:pPr>
          </w:p>
        </w:tc>
        <w:tc>
          <w:tcPr>
            <w:tcW w:w="118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客服热线</w:t>
            </w:r>
          </w:p>
        </w:tc>
        <w:tc>
          <w:tcPr>
            <w:tcW w:w="3042" w:type="dxa"/>
            <w:noWrap w:val="0"/>
            <w:vAlign w:val="center"/>
          </w:tcPr>
          <w:p>
            <w:pPr>
              <w:spacing w:line="36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i w:val="0"/>
                <w:color w:val="auto"/>
                <w:kern w:val="2"/>
                <w:sz w:val="21"/>
                <w:szCs w:val="21"/>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spacing w:line="360" w:lineRule="auto"/>
              <w:jc w:val="center"/>
              <w:rPr>
                <w:rFonts w:hint="eastAsia" w:ascii="宋体" w:hAnsi="宋体" w:cs="宋体"/>
                <w:bCs/>
                <w:sz w:val="21"/>
                <w:szCs w:val="21"/>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restart"/>
            <w:noWrap w:val="0"/>
            <w:vAlign w:val="center"/>
          </w:tcPr>
          <w:p>
            <w:pPr>
              <w:widowControl/>
              <w:spacing w:line="360" w:lineRule="auto"/>
              <w:jc w:val="center"/>
              <w:rPr>
                <w:rFonts w:hint="eastAsia" w:ascii="宋体" w:hAnsi="宋体" w:cs="宋体"/>
                <w:bCs/>
                <w:color w:val="auto"/>
                <w:sz w:val="21"/>
                <w:szCs w:val="21"/>
                <w:highlight w:val="none"/>
                <w:u w:val="none"/>
                <w:lang w:bidi="ar"/>
              </w:rPr>
            </w:pPr>
            <w:r>
              <w:rPr>
                <w:rFonts w:hint="eastAsia" w:ascii="宋体" w:hAnsi="宋体" w:cs="宋体"/>
                <w:bCs/>
                <w:color w:val="auto"/>
                <w:kern w:val="2"/>
                <w:sz w:val="21"/>
                <w:szCs w:val="21"/>
                <w:highlight w:val="none"/>
                <w:u w:val="none"/>
                <w:lang w:bidi="ar"/>
              </w:rPr>
              <w:t>兴业银行股份有限公司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042" w:type="dxa"/>
            <w:noWrap w:val="0"/>
            <w:vAlign w:val="center"/>
          </w:tcPr>
          <w:p>
            <w:pPr>
              <w:widowControl/>
              <w:spacing w:line="360" w:lineRule="auto"/>
              <w:jc w:val="center"/>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cs="宋体"/>
                <w:bCs/>
                <w:color w:val="auto"/>
                <w:kern w:val="2"/>
                <w:sz w:val="21"/>
                <w:szCs w:val="21"/>
                <w:highlight w:val="none"/>
                <w:u w:val="none"/>
                <w:lang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widowControl/>
              <w:spacing w:line="360" w:lineRule="auto"/>
              <w:jc w:val="center"/>
              <w:rPr>
                <w:rFonts w:hint="eastAsia" w:ascii="宋体" w:hAnsi="宋体" w:cs="宋体"/>
                <w:bCs/>
                <w:color w:val="auto"/>
                <w:sz w:val="21"/>
                <w:szCs w:val="21"/>
                <w:highlight w:val="none"/>
                <w:u w:val="none"/>
                <w:lang w:bidi="ar"/>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042" w:type="dxa"/>
            <w:noWrap w:val="0"/>
            <w:vAlign w:val="center"/>
          </w:tcPr>
          <w:p>
            <w:pPr>
              <w:widowControl/>
              <w:spacing w:line="360" w:lineRule="auto"/>
              <w:jc w:val="center"/>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cs="宋体"/>
                <w:bCs/>
                <w:color w:val="auto"/>
                <w:kern w:val="2"/>
                <w:sz w:val="21"/>
                <w:szCs w:val="21"/>
                <w:highlight w:val="none"/>
                <w:u w:val="none"/>
                <w:lang w:bidi="ar"/>
              </w:rPr>
              <w:t>0591-87844196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6840" w:type="dxa"/>
            <w:gridSpan w:val="3"/>
            <w:noWrap w:val="0"/>
            <w:vAlign w:val="top"/>
          </w:tcPr>
          <w:p>
            <w:pPr>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val="en-US" w:eastAsia="zh-CN"/>
        </w:rPr>
        <w:t>的</w:t>
      </w:r>
      <w:r>
        <w:rPr>
          <w:rFonts w:hint="eastAsia" w:ascii="宋体" w:hAnsi="宋体" w:cs="宋体"/>
          <w:bCs/>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B</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C</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D</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W</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P</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以〖A份额〗为例，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val="en-US" w:eastAsia="zh-CN"/>
        </w:rPr>
        <w:t>的</w:t>
      </w:r>
      <w:r>
        <w:rPr>
          <w:rFonts w:hint="eastAsia" w:ascii="宋体" w:hAnsi="宋体" w:cs="宋体"/>
          <w:bCs/>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B</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C</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D</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W</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P</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以〖A份额〗为例，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本产品</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本产品</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（具体以销售机构要求为准）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满足最低持有期后，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60288"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6514C4"/>
    <w:rsid w:val="01364432"/>
    <w:rsid w:val="01523B8E"/>
    <w:rsid w:val="017101FF"/>
    <w:rsid w:val="01D8103B"/>
    <w:rsid w:val="01E60817"/>
    <w:rsid w:val="0204742C"/>
    <w:rsid w:val="02222504"/>
    <w:rsid w:val="0276080F"/>
    <w:rsid w:val="02CC4B77"/>
    <w:rsid w:val="03D96342"/>
    <w:rsid w:val="048D7DCA"/>
    <w:rsid w:val="056351CB"/>
    <w:rsid w:val="057C0635"/>
    <w:rsid w:val="059D3DDE"/>
    <w:rsid w:val="05D9297D"/>
    <w:rsid w:val="05E05E4D"/>
    <w:rsid w:val="06420CFA"/>
    <w:rsid w:val="06503B59"/>
    <w:rsid w:val="06B41B03"/>
    <w:rsid w:val="0752555A"/>
    <w:rsid w:val="07E45984"/>
    <w:rsid w:val="07EA622A"/>
    <w:rsid w:val="0828699A"/>
    <w:rsid w:val="08A1555E"/>
    <w:rsid w:val="092751AA"/>
    <w:rsid w:val="097E3F67"/>
    <w:rsid w:val="09C935B6"/>
    <w:rsid w:val="0A1347F5"/>
    <w:rsid w:val="0A2F610F"/>
    <w:rsid w:val="0A356725"/>
    <w:rsid w:val="0B23316E"/>
    <w:rsid w:val="0B8702FD"/>
    <w:rsid w:val="0B8E27E3"/>
    <w:rsid w:val="0B907684"/>
    <w:rsid w:val="0BA57DD5"/>
    <w:rsid w:val="0BF71AE2"/>
    <w:rsid w:val="0C1466C4"/>
    <w:rsid w:val="0CA6603D"/>
    <w:rsid w:val="0CBF33B1"/>
    <w:rsid w:val="0CE71B9E"/>
    <w:rsid w:val="0D0B1B00"/>
    <w:rsid w:val="0D79000C"/>
    <w:rsid w:val="0DFD2C7C"/>
    <w:rsid w:val="0E4A4B6F"/>
    <w:rsid w:val="0E9832B7"/>
    <w:rsid w:val="0EF65480"/>
    <w:rsid w:val="0F6C2854"/>
    <w:rsid w:val="0F8A2CEB"/>
    <w:rsid w:val="0FCD6327"/>
    <w:rsid w:val="103E6557"/>
    <w:rsid w:val="10E7087B"/>
    <w:rsid w:val="11A27183"/>
    <w:rsid w:val="11BA058F"/>
    <w:rsid w:val="12081858"/>
    <w:rsid w:val="120E16FE"/>
    <w:rsid w:val="12B62B3B"/>
    <w:rsid w:val="12C06C3F"/>
    <w:rsid w:val="12D90F42"/>
    <w:rsid w:val="13031153"/>
    <w:rsid w:val="13181417"/>
    <w:rsid w:val="1370341C"/>
    <w:rsid w:val="13953152"/>
    <w:rsid w:val="13AE5996"/>
    <w:rsid w:val="140111BF"/>
    <w:rsid w:val="141B5610"/>
    <w:rsid w:val="14C57FED"/>
    <w:rsid w:val="150C5665"/>
    <w:rsid w:val="155348F6"/>
    <w:rsid w:val="15992F9A"/>
    <w:rsid w:val="15C56302"/>
    <w:rsid w:val="160940BB"/>
    <w:rsid w:val="1659752C"/>
    <w:rsid w:val="168030D2"/>
    <w:rsid w:val="16CA0C22"/>
    <w:rsid w:val="16E43A7F"/>
    <w:rsid w:val="17682A5B"/>
    <w:rsid w:val="17864B39"/>
    <w:rsid w:val="17FA3952"/>
    <w:rsid w:val="18203482"/>
    <w:rsid w:val="18596962"/>
    <w:rsid w:val="185A3DA1"/>
    <w:rsid w:val="189E168F"/>
    <w:rsid w:val="198C4B50"/>
    <w:rsid w:val="19F13F4F"/>
    <w:rsid w:val="1A102675"/>
    <w:rsid w:val="1AD33A8F"/>
    <w:rsid w:val="1B280245"/>
    <w:rsid w:val="1B9C6084"/>
    <w:rsid w:val="1BBE4697"/>
    <w:rsid w:val="1BC22C82"/>
    <w:rsid w:val="1C1F7392"/>
    <w:rsid w:val="1CDC4E2A"/>
    <w:rsid w:val="1CE35114"/>
    <w:rsid w:val="1D1B5B71"/>
    <w:rsid w:val="1D5459CA"/>
    <w:rsid w:val="1D552DD9"/>
    <w:rsid w:val="1DAB6D83"/>
    <w:rsid w:val="1E3173A3"/>
    <w:rsid w:val="1F0144FD"/>
    <w:rsid w:val="1F0F5A19"/>
    <w:rsid w:val="1F1D6E1F"/>
    <w:rsid w:val="1F3E7F7D"/>
    <w:rsid w:val="1F51312D"/>
    <w:rsid w:val="1FC9553A"/>
    <w:rsid w:val="20170C46"/>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7D008A6"/>
    <w:rsid w:val="2814202B"/>
    <w:rsid w:val="281432FA"/>
    <w:rsid w:val="29BA058F"/>
    <w:rsid w:val="29BB33A7"/>
    <w:rsid w:val="2A1B5D68"/>
    <w:rsid w:val="2A5975B6"/>
    <w:rsid w:val="2A8773FC"/>
    <w:rsid w:val="2A991D32"/>
    <w:rsid w:val="2AB92324"/>
    <w:rsid w:val="2AC3651E"/>
    <w:rsid w:val="2AD6555A"/>
    <w:rsid w:val="2BD46A9C"/>
    <w:rsid w:val="2C1B1E9D"/>
    <w:rsid w:val="2C28643F"/>
    <w:rsid w:val="2C2E3173"/>
    <w:rsid w:val="2CAB68C5"/>
    <w:rsid w:val="2CB97F5D"/>
    <w:rsid w:val="2CBB0793"/>
    <w:rsid w:val="2CF84537"/>
    <w:rsid w:val="2D303B49"/>
    <w:rsid w:val="2DBD2A51"/>
    <w:rsid w:val="2DE30850"/>
    <w:rsid w:val="2DFA6966"/>
    <w:rsid w:val="2E057F04"/>
    <w:rsid w:val="2E106D61"/>
    <w:rsid w:val="2E411BAA"/>
    <w:rsid w:val="2E910D38"/>
    <w:rsid w:val="2EBC6D03"/>
    <w:rsid w:val="2F3A7B82"/>
    <w:rsid w:val="2FD32A37"/>
    <w:rsid w:val="302C1AF4"/>
    <w:rsid w:val="30551FFC"/>
    <w:rsid w:val="30690F5C"/>
    <w:rsid w:val="30D31961"/>
    <w:rsid w:val="30FD36E3"/>
    <w:rsid w:val="31147E16"/>
    <w:rsid w:val="311F702A"/>
    <w:rsid w:val="3177134F"/>
    <w:rsid w:val="31A82883"/>
    <w:rsid w:val="31FE2886"/>
    <w:rsid w:val="320E3E15"/>
    <w:rsid w:val="32770B1E"/>
    <w:rsid w:val="32821910"/>
    <w:rsid w:val="329743A8"/>
    <w:rsid w:val="32C937E9"/>
    <w:rsid w:val="33341D3A"/>
    <w:rsid w:val="333B487F"/>
    <w:rsid w:val="33833CD5"/>
    <w:rsid w:val="339502CA"/>
    <w:rsid w:val="342F66F0"/>
    <w:rsid w:val="345B62A5"/>
    <w:rsid w:val="3480359E"/>
    <w:rsid w:val="34BE4ED5"/>
    <w:rsid w:val="353A76E3"/>
    <w:rsid w:val="35476F5E"/>
    <w:rsid w:val="35745B9A"/>
    <w:rsid w:val="35862DD5"/>
    <w:rsid w:val="36236D36"/>
    <w:rsid w:val="36631FD8"/>
    <w:rsid w:val="36E72D9B"/>
    <w:rsid w:val="371103D7"/>
    <w:rsid w:val="374829BA"/>
    <w:rsid w:val="37CA172C"/>
    <w:rsid w:val="38224FD0"/>
    <w:rsid w:val="385505E4"/>
    <w:rsid w:val="39094FF7"/>
    <w:rsid w:val="3939568A"/>
    <w:rsid w:val="39461E8D"/>
    <w:rsid w:val="3A3E2041"/>
    <w:rsid w:val="3A5E53DD"/>
    <w:rsid w:val="3B077108"/>
    <w:rsid w:val="3B131EF6"/>
    <w:rsid w:val="3B490D86"/>
    <w:rsid w:val="3B503111"/>
    <w:rsid w:val="3B8D6BA5"/>
    <w:rsid w:val="3BE467B5"/>
    <w:rsid w:val="3C2F2290"/>
    <w:rsid w:val="3C635E14"/>
    <w:rsid w:val="3D6B43DA"/>
    <w:rsid w:val="3DFB09DB"/>
    <w:rsid w:val="3EAD1B36"/>
    <w:rsid w:val="3EDB57BA"/>
    <w:rsid w:val="3F056B9E"/>
    <w:rsid w:val="3F354A62"/>
    <w:rsid w:val="400540FC"/>
    <w:rsid w:val="403A3A3D"/>
    <w:rsid w:val="406370BC"/>
    <w:rsid w:val="40B52FA7"/>
    <w:rsid w:val="40FB7670"/>
    <w:rsid w:val="410E2A1D"/>
    <w:rsid w:val="41B30AFD"/>
    <w:rsid w:val="423C06E2"/>
    <w:rsid w:val="42815397"/>
    <w:rsid w:val="42C94634"/>
    <w:rsid w:val="42F2658D"/>
    <w:rsid w:val="4309649B"/>
    <w:rsid w:val="4356095A"/>
    <w:rsid w:val="43A015F1"/>
    <w:rsid w:val="43AD19F4"/>
    <w:rsid w:val="43EE5E80"/>
    <w:rsid w:val="44942FEB"/>
    <w:rsid w:val="450D2DC0"/>
    <w:rsid w:val="45540446"/>
    <w:rsid w:val="45BB5620"/>
    <w:rsid w:val="45E71A33"/>
    <w:rsid w:val="45F127ED"/>
    <w:rsid w:val="4674141B"/>
    <w:rsid w:val="46CD66A0"/>
    <w:rsid w:val="46F82DED"/>
    <w:rsid w:val="472803B7"/>
    <w:rsid w:val="47850646"/>
    <w:rsid w:val="487D0651"/>
    <w:rsid w:val="488B59A4"/>
    <w:rsid w:val="48962E2C"/>
    <w:rsid w:val="48F83E16"/>
    <w:rsid w:val="490E3C00"/>
    <w:rsid w:val="494502E1"/>
    <w:rsid w:val="49ED3C35"/>
    <w:rsid w:val="4A405BF6"/>
    <w:rsid w:val="4A744A94"/>
    <w:rsid w:val="4A7F0ADF"/>
    <w:rsid w:val="4B0D3113"/>
    <w:rsid w:val="4B2F56F4"/>
    <w:rsid w:val="4C29108D"/>
    <w:rsid w:val="4C583BC9"/>
    <w:rsid w:val="4C6B0DDA"/>
    <w:rsid w:val="4C6E1306"/>
    <w:rsid w:val="4CF60CEC"/>
    <w:rsid w:val="4DDA4860"/>
    <w:rsid w:val="4E186164"/>
    <w:rsid w:val="4E2F1033"/>
    <w:rsid w:val="4E8274B0"/>
    <w:rsid w:val="4EFC1B31"/>
    <w:rsid w:val="4FC46B8A"/>
    <w:rsid w:val="4FF363B3"/>
    <w:rsid w:val="50B73634"/>
    <w:rsid w:val="51504FE6"/>
    <w:rsid w:val="51A37CA2"/>
    <w:rsid w:val="5257047F"/>
    <w:rsid w:val="52C66301"/>
    <w:rsid w:val="540A7D17"/>
    <w:rsid w:val="5425120B"/>
    <w:rsid w:val="54E91D9C"/>
    <w:rsid w:val="5540500D"/>
    <w:rsid w:val="55A92CF5"/>
    <w:rsid w:val="55E056D8"/>
    <w:rsid w:val="562F08DB"/>
    <w:rsid w:val="56512D17"/>
    <w:rsid w:val="56D52E08"/>
    <w:rsid w:val="57252C25"/>
    <w:rsid w:val="57B94BA2"/>
    <w:rsid w:val="57BB6218"/>
    <w:rsid w:val="57FF3AAA"/>
    <w:rsid w:val="58DD2EEE"/>
    <w:rsid w:val="58E96C7A"/>
    <w:rsid w:val="58FE03B5"/>
    <w:rsid w:val="591E3AA4"/>
    <w:rsid w:val="59573977"/>
    <w:rsid w:val="59941FB8"/>
    <w:rsid w:val="59AD3C67"/>
    <w:rsid w:val="59F95365"/>
    <w:rsid w:val="5A437FB8"/>
    <w:rsid w:val="5AF7537D"/>
    <w:rsid w:val="5B0D630F"/>
    <w:rsid w:val="5B1367B9"/>
    <w:rsid w:val="5B6A2BC2"/>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551F84"/>
    <w:rsid w:val="62860AAA"/>
    <w:rsid w:val="62885FA4"/>
    <w:rsid w:val="629D5796"/>
    <w:rsid w:val="630E7FE6"/>
    <w:rsid w:val="632C52C2"/>
    <w:rsid w:val="64954D64"/>
    <w:rsid w:val="64AF6E9A"/>
    <w:rsid w:val="659F3571"/>
    <w:rsid w:val="65CB03E4"/>
    <w:rsid w:val="66FF60CC"/>
    <w:rsid w:val="671E2162"/>
    <w:rsid w:val="67BE72F0"/>
    <w:rsid w:val="68D8721E"/>
    <w:rsid w:val="690D409C"/>
    <w:rsid w:val="691056DB"/>
    <w:rsid w:val="695A49BA"/>
    <w:rsid w:val="69BF6670"/>
    <w:rsid w:val="6AF535D5"/>
    <w:rsid w:val="6B610D05"/>
    <w:rsid w:val="6BAC21D5"/>
    <w:rsid w:val="6C184007"/>
    <w:rsid w:val="6CC81570"/>
    <w:rsid w:val="6CE33A3E"/>
    <w:rsid w:val="6CED1CB3"/>
    <w:rsid w:val="6D091E83"/>
    <w:rsid w:val="6D3B42C3"/>
    <w:rsid w:val="6D77332B"/>
    <w:rsid w:val="6DF71DF2"/>
    <w:rsid w:val="6E0B5972"/>
    <w:rsid w:val="6E51251F"/>
    <w:rsid w:val="6E7E575F"/>
    <w:rsid w:val="6EF15941"/>
    <w:rsid w:val="6EFC3973"/>
    <w:rsid w:val="6F9921A1"/>
    <w:rsid w:val="71392208"/>
    <w:rsid w:val="727E507A"/>
    <w:rsid w:val="730C5849"/>
    <w:rsid w:val="73266980"/>
    <w:rsid w:val="73396EC2"/>
    <w:rsid w:val="73407EBD"/>
    <w:rsid w:val="73835D66"/>
    <w:rsid w:val="738D1DD9"/>
    <w:rsid w:val="73C33B9A"/>
    <w:rsid w:val="73EF4563"/>
    <w:rsid w:val="73F97190"/>
    <w:rsid w:val="74175679"/>
    <w:rsid w:val="744124AA"/>
    <w:rsid w:val="745A6083"/>
    <w:rsid w:val="74664F47"/>
    <w:rsid w:val="74885CCA"/>
    <w:rsid w:val="74E157D6"/>
    <w:rsid w:val="75313062"/>
    <w:rsid w:val="75977087"/>
    <w:rsid w:val="75A871AE"/>
    <w:rsid w:val="75F261C9"/>
    <w:rsid w:val="77523D71"/>
    <w:rsid w:val="77E0572E"/>
    <w:rsid w:val="7820118F"/>
    <w:rsid w:val="78EF4372"/>
    <w:rsid w:val="79385012"/>
    <w:rsid w:val="79642F4A"/>
    <w:rsid w:val="79771B00"/>
    <w:rsid w:val="798F6426"/>
    <w:rsid w:val="7A6D7156"/>
    <w:rsid w:val="7A917304"/>
    <w:rsid w:val="7ACA272A"/>
    <w:rsid w:val="7AE86DBD"/>
    <w:rsid w:val="7B996067"/>
    <w:rsid w:val="7C1E0CFC"/>
    <w:rsid w:val="7CBF6012"/>
    <w:rsid w:val="7D075FD0"/>
    <w:rsid w:val="7D7862F0"/>
    <w:rsid w:val="7DB00FDC"/>
    <w:rsid w:val="7DC671DD"/>
    <w:rsid w:val="7DD1709E"/>
    <w:rsid w:val="7DD5513F"/>
    <w:rsid w:val="7E6F339A"/>
    <w:rsid w:val="7E8655E6"/>
    <w:rsid w:val="7EAC2F5C"/>
    <w:rsid w:val="7F590AE3"/>
    <w:rsid w:val="7FF6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35132</Words>
  <Characters>37007</Characters>
  <Lines>210</Lines>
  <Paragraphs>59</Paragraphs>
  <TotalTime>1</TotalTime>
  <ScaleCrop>false</ScaleCrop>
  <LinksUpToDate>false</LinksUpToDate>
  <CharactersWithSpaces>37238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2025-04-18T06:20:26Z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y fmtid="{D5CDD505-2E9C-101B-9397-08002B2CF9AE}" pid="4" name="KSOTemplateDocerSaveRecord">
    <vt:lpwstr>eyJoZGlkIjoiMGRhYjRlZDVkMGNhZWM2ZDc0NWIwYmZiZDBhZDllMzMiLCJ1c2VySWQiOiIyNjQ1NjIxNDcifQ==</vt:lpwstr>
  </property>
</Properties>
</file>