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杭银理财幸福99月添益2001期理财合同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r>
        <w:rPr>
          <w:rFonts w:hint="eastAsia" w:ascii="宋体" w:hAnsi="宋体" w:cs="宋体"/>
        </w:rPr>
        <w:t>杭银理财幸福99</w:t>
      </w:r>
      <w:r>
        <w:rPr>
          <w:rFonts w:hint="eastAsia" w:ascii="宋体" w:hAnsi="宋体" w:cs="宋体"/>
          <w:bCs/>
          <w:szCs w:val="44"/>
        </w:rPr>
        <w:t>月添益2001期理财</w:t>
      </w:r>
      <w:r>
        <w:rPr>
          <w:rFonts w:hint="eastAsia" w:ascii="宋体" w:hAnsi="宋体" w:cs="宋体"/>
        </w:rPr>
        <w:t>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160"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160"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杭银理财幸福99月添益2001期理财风险揭示书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160" w:type="dxa"/>
            <w:noWrap w:val="0"/>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杭银理财幸福99月添益2001期理财产品说明书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160" w:type="dxa"/>
            <w:noWrap w:val="0"/>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266" w:type="dxa"/>
            <w:noWrap w:val="0"/>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r>
        <w:rPr>
          <w:rFonts w:hint="eastAsia" w:ascii="宋体" w:hAnsi="宋体" w:cs="宋体"/>
        </w:rPr>
        <w:t>杭银理财幸福99月添益2001期理财风险揭示书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w:t>
      </w:r>
      <w:r>
        <w:rPr>
          <w:rFonts w:hint="eastAsia" w:ascii="宋体" w:hAnsi="宋体" w:cs="宋体"/>
          <w:bCs/>
          <w:lang w:eastAsia="zh-CN"/>
        </w:rPr>
        <w:t>国家金融监督管理总局</w:t>
      </w:r>
      <w:r>
        <w:rPr>
          <w:rFonts w:hint="eastAsia" w:ascii="宋体" w:hAnsi="宋体" w:cs="宋体"/>
          <w:bCs/>
        </w:rPr>
        <w:t>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2" w:firstLineChars="200"/>
      </w:pPr>
      <w:r>
        <w:rPr>
          <w:rStyle w:val="22"/>
          <w:rFonts w:hint="eastAsia"/>
          <w:b/>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23"/>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资金流动性风险：本理财计划定期开放申购、赎回，非开放期内投资者不得提前交易。</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收益不达业绩比较基准风险：业绩比较基准并非预测收益，不代表产品的未来表现和实际收益；本理财计划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rPr>
          <w:rFonts w:hint="eastAsia" w:ascii="宋体" w:hAnsi="宋体" w:cs="宋体"/>
          <w:bCs/>
        </w:rPr>
      </w:pPr>
    </w:p>
    <w:p>
      <w:pPr>
        <w:pStyle w:val="17"/>
        <w:spacing w:line="360" w:lineRule="auto"/>
        <w:jc w:val="both"/>
        <w:rPr>
          <w:rFonts w:hint="eastAsia" w:ascii="宋体" w:hAnsi="宋体" w:cs="宋体"/>
          <w:b/>
          <w:color w:val="auto"/>
        </w:rPr>
      </w:pPr>
    </w:p>
    <w:p>
      <w:pPr>
        <w:pStyle w:val="17"/>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17"/>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17"/>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17"/>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17"/>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7"/>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17"/>
        <w:spacing w:line="360" w:lineRule="auto"/>
        <w:ind w:firstLine="482" w:firstLineChars="200"/>
        <w:jc w:val="center"/>
        <w:rPr>
          <w:rFonts w:hint="eastAsia" w:ascii="宋体" w:hAnsi="宋体" w:cs="宋体"/>
          <w:b/>
          <w:bCs/>
          <w:color w:val="auto"/>
        </w:rPr>
      </w:pPr>
    </w:p>
    <w:p>
      <w:pPr>
        <w:pStyle w:val="17"/>
        <w:spacing w:line="360" w:lineRule="auto"/>
        <w:ind w:firstLine="482" w:firstLineChars="200"/>
        <w:jc w:val="center"/>
        <w:rPr>
          <w:rFonts w:hint="eastAsia" w:ascii="宋体" w:hAnsi="宋体" w:cs="宋体"/>
          <w:b/>
          <w:bCs/>
          <w:color w:val="auto"/>
        </w:rPr>
      </w:pPr>
    </w:p>
    <w:p>
      <w:pPr>
        <w:pStyle w:val="17"/>
        <w:spacing w:line="360" w:lineRule="auto"/>
        <w:ind w:firstLine="482" w:firstLineChars="200"/>
        <w:jc w:val="center"/>
        <w:rPr>
          <w:rFonts w:hint="eastAsia" w:ascii="宋体" w:hAnsi="宋体" w:cs="宋体"/>
          <w:b/>
          <w:bCs/>
          <w:color w:val="auto"/>
        </w:rPr>
      </w:pPr>
    </w:p>
    <w:p>
      <w:pPr>
        <w:pStyle w:val="17"/>
        <w:spacing w:line="360" w:lineRule="auto"/>
        <w:ind w:firstLine="482" w:firstLineChars="200"/>
        <w:jc w:val="center"/>
        <w:rPr>
          <w:rFonts w:hint="eastAsia" w:ascii="宋体" w:hAnsi="宋体" w:cs="宋体"/>
          <w:b/>
          <w:bCs/>
          <w:color w:val="auto"/>
        </w:rPr>
      </w:pPr>
    </w:p>
    <w:p>
      <w:pPr>
        <w:pStyle w:val="17"/>
        <w:spacing w:line="360" w:lineRule="auto"/>
        <w:ind w:firstLine="482" w:firstLineChars="200"/>
        <w:jc w:val="center"/>
        <w:rPr>
          <w:rFonts w:hint="eastAsia" w:ascii="宋体" w:hAnsi="宋体" w:cs="宋体"/>
          <w:b/>
          <w:bCs/>
          <w:color w:val="auto"/>
        </w:rPr>
      </w:pPr>
    </w:p>
    <w:p>
      <w:pPr>
        <w:pStyle w:val="17"/>
        <w:spacing w:line="360" w:lineRule="auto"/>
        <w:ind w:firstLine="482" w:firstLineChars="200"/>
        <w:jc w:val="center"/>
        <w:rPr>
          <w:rFonts w:hint="eastAsia" w:ascii="宋体" w:hAnsi="宋体" w:cs="宋体"/>
          <w:b/>
          <w:bCs/>
          <w:color w:val="auto"/>
        </w:rPr>
      </w:pPr>
    </w:p>
    <w:p>
      <w:pPr>
        <w:pStyle w:val="17"/>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17"/>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cs="宋体"/>
          <w:color w:val="auto"/>
        </w:rPr>
      </w:pPr>
    </w:p>
    <w:p>
      <w:pPr>
        <w:pStyle w:val="17"/>
        <w:spacing w:line="360" w:lineRule="auto"/>
        <w:ind w:firstLine="480" w:firstLineChars="200"/>
        <w:jc w:val="right"/>
        <w:rPr>
          <w:rFonts w:hint="eastAsia" w:ascii="宋体" w:hAnsi="宋体" w:cs="宋体"/>
          <w:color w:val="auto"/>
        </w:rPr>
      </w:pPr>
    </w:p>
    <w:p>
      <w:pPr>
        <w:pStyle w:val="17"/>
        <w:spacing w:line="360" w:lineRule="auto"/>
        <w:ind w:firstLine="480" w:firstLineChars="200"/>
        <w:jc w:val="right"/>
        <w:rPr>
          <w:rFonts w:hint="eastAsia" w:ascii="宋体" w:hAnsi="宋体" w:cs="宋体"/>
          <w:color w:val="auto"/>
        </w:rPr>
      </w:pPr>
    </w:p>
    <w:p>
      <w:pPr>
        <w:pStyle w:val="17"/>
        <w:spacing w:line="360" w:lineRule="auto"/>
        <w:ind w:firstLine="480" w:firstLineChars="200"/>
        <w:jc w:val="right"/>
        <w:rPr>
          <w:rFonts w:hint="eastAsia" w:ascii="宋体" w:hAnsi="宋体" w:cs="宋体"/>
          <w:color w:val="auto"/>
        </w:rPr>
      </w:pPr>
    </w:p>
    <w:p>
      <w:pPr>
        <w:pStyle w:val="17"/>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17"/>
        <w:spacing w:line="360" w:lineRule="auto"/>
        <w:ind w:firstLine="480" w:firstLineChars="200"/>
        <w:jc w:val="right"/>
        <w:rPr>
          <w:rFonts w:hint="eastAsia" w:ascii="宋体" w:hAnsi="宋体" w:cs="宋体"/>
          <w:color w:val="auto"/>
        </w:rPr>
      </w:pPr>
    </w:p>
    <w:p>
      <w:pPr>
        <w:pStyle w:val="17"/>
        <w:spacing w:line="360" w:lineRule="auto"/>
        <w:ind w:firstLine="480" w:firstLineChars="200"/>
        <w:jc w:val="right"/>
        <w:rPr>
          <w:rFonts w:hint="eastAsia" w:ascii="宋体" w:hAnsi="宋体" w:cs="宋体"/>
          <w:color w:val="auto"/>
        </w:rPr>
      </w:pPr>
    </w:p>
    <w:p>
      <w:pPr>
        <w:pStyle w:val="17"/>
        <w:spacing w:line="360" w:lineRule="auto"/>
        <w:ind w:firstLine="480" w:firstLineChars="200"/>
        <w:jc w:val="right"/>
        <w:rPr>
          <w:rFonts w:hint="eastAsia" w:ascii="宋体" w:hAnsi="宋体" w:cs="宋体"/>
          <w:color w:val="auto"/>
        </w:rPr>
      </w:pPr>
    </w:p>
    <w:p>
      <w:pPr>
        <w:pStyle w:val="17"/>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17"/>
        <w:spacing w:line="360" w:lineRule="auto"/>
        <w:ind w:firstLine="482" w:firstLineChars="200"/>
        <w:jc w:val="both"/>
        <w:rPr>
          <w:rFonts w:hint="eastAsia" w:ascii="宋体" w:hAnsi="宋体" w:cs="宋体"/>
          <w:b/>
          <w:bCs/>
          <w:color w:val="auto"/>
        </w:rPr>
      </w:pPr>
    </w:p>
    <w:p>
      <w:pPr>
        <w:pStyle w:val="17"/>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杭银理财幸福99月添益2001期理财产品说明书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ascii="宋体" w:hAnsi="宋体" w:cs="宋体"/>
        </w:rPr>
        <w:t>Z70022210002</w:t>
      </w:r>
      <w:r>
        <w:rPr>
          <w:rFonts w:hint="eastAsia" w:ascii="宋体" w:hAnsi="宋体" w:cs="宋体"/>
        </w:rPr>
        <w:t>71</w:t>
      </w:r>
      <w:r>
        <w:rPr>
          <w:rFonts w:hint="eastAsia" w:ascii="宋体" w:hAnsi="宋体" w:cs="宋体"/>
          <w:bCs/>
        </w:rPr>
        <w:t>〗</w:t>
      </w:r>
    </w:p>
    <w:p>
      <w:pPr>
        <w:spacing w:line="360" w:lineRule="auto"/>
        <w:jc w:val="center"/>
        <w:rPr>
          <w:rFonts w:hint="eastAsia" w:ascii="宋体" w:hAnsi="宋体" w:cs="宋体"/>
          <w:bCs/>
        </w:rPr>
      </w:pPr>
    </w:p>
    <w:p>
      <w:pPr>
        <w:numPr>
          <w:ilvl w:val="0"/>
          <w:numId w:val="9"/>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1"/>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17"/>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rPr>
          <w:rFonts w:hint="eastAsia" w:ascii="宋体" w:hAnsi="宋体" w:cs="宋体"/>
          <w:bCs/>
          <w:color w:val="auto"/>
          <w:kern w:val="2"/>
        </w:rPr>
        <w:fldChar w:fldCharType="begin"/>
      </w:r>
      <w:r>
        <w:rPr>
          <w:rFonts w:hint="eastAsia" w:ascii="宋体" w:hAnsi="宋体" w:cs="宋体"/>
          <w:bCs/>
          <w:color w:val="auto"/>
          <w:kern w:val="2"/>
        </w:rPr>
        <w:instrText xml:space="preserve"> HYPERLINK "http://www.hzbank.com.cn" </w:instrText>
      </w:r>
      <w:r>
        <w:rPr>
          <w:rFonts w:hint="eastAsia" w:ascii="宋体" w:hAnsi="宋体" w:cs="宋体"/>
          <w:bCs/>
          <w:color w:val="auto"/>
          <w:kern w:val="2"/>
        </w:rP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rPr>
        <w:t>。</w:t>
      </w:r>
    </w:p>
    <w:p>
      <w:pPr>
        <w:pStyle w:val="17"/>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rPr>
        <w:fldChar w:fldCharType="begin"/>
      </w:r>
      <w:r>
        <w:rPr>
          <w:rFonts w:hint="eastAsia" w:ascii="宋体" w:hAnsi="宋体" w:cs="宋体"/>
          <w:bCs/>
          <w:color w:val="auto"/>
          <w:kern w:val="2"/>
        </w:rPr>
        <w:instrText xml:space="preserve"> HYPERLINK "http://www.hzbank.com.cn" </w:instrText>
      </w:r>
      <w:r>
        <w:rPr>
          <w:rFonts w:hint="eastAsia" w:ascii="宋体" w:hAnsi="宋体" w:cs="宋体"/>
          <w:bCs/>
          <w:color w:val="auto"/>
          <w:kern w:val="2"/>
        </w:rPr>
        <w:fldChar w:fldCharType="separate"/>
      </w:r>
      <w:r>
        <w:rPr>
          <w:rFonts w:hint="eastAsia" w:ascii="宋体" w:hAnsi="宋体" w:cs="宋体"/>
          <w:bCs/>
          <w:color w:val="auto"/>
          <w:kern w:val="2"/>
        </w:rPr>
        <w:t>www.hzbank.com.cn</w:t>
      </w:r>
      <w:r>
        <w:rPr>
          <w:rFonts w:hint="eastAsia" w:ascii="宋体" w:hAnsi="宋体" w:cs="宋体"/>
          <w:bCs/>
          <w:color w:val="auto"/>
          <w:kern w:val="2"/>
        </w:rPr>
        <w:fldChar w:fldCharType="end"/>
      </w:r>
      <w:r>
        <w:rPr>
          <w:rFonts w:hint="eastAsia" w:ascii="宋体" w:hAnsi="宋体" w:cs="宋体"/>
          <w:bCs/>
          <w:color w:val="auto"/>
          <w:kern w:val="2"/>
        </w:rPr>
        <w:t>，客服热线为95398。</w:t>
      </w:r>
    </w:p>
    <w:p>
      <w:pPr>
        <w:pStyle w:val="17"/>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17"/>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lang w:eastAsia="zh-CN"/>
        </w:rPr>
        <w:t>国家金融监督管理总局</w:t>
      </w:r>
      <w:r>
        <w:rPr>
          <w:rFonts w:hint="eastAsia" w:ascii="宋体" w:hAnsi="宋体" w:cs="宋体"/>
          <w:bCs/>
          <w:color w:val="auto"/>
          <w:kern w:val="2"/>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17"/>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w:t>
      </w:r>
      <w:r>
        <w:rPr>
          <w:rFonts w:hint="eastAsia" w:ascii="宋体" w:hAnsi="宋体" w:cs="宋体"/>
          <w:bCs/>
        </w:rPr>
        <w:t>月添益2001期理财产品说明书</w:t>
      </w:r>
      <w:r>
        <w:rPr>
          <w:rFonts w:hint="eastAsia" w:ascii="宋体" w:hAnsi="宋体" w:cs="宋体"/>
          <w:bCs/>
          <w:color w:val="auto"/>
          <w:kern w:val="2"/>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月添益2001期理财合同不可分割组成部分的风险揭示书，</w:t>
      </w:r>
      <w:r>
        <w:rPr>
          <w:rFonts w:hint="eastAsia" w:ascii="宋体" w:hAnsi="宋体" w:cs="宋体"/>
          <w:bCs/>
          <w:color w:val="auto"/>
          <w:kern w:val="2"/>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月添益2001期理财合同不可分割组成部分的投资者权益须知，</w:t>
      </w:r>
      <w:r>
        <w:rPr>
          <w:rFonts w:hint="eastAsia" w:ascii="宋体" w:hAnsi="宋体" w:cs="宋体"/>
          <w:bCs/>
          <w:color w:val="auto"/>
          <w:kern w:val="2"/>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w:t>
      </w:r>
      <w:r>
        <w:rPr>
          <w:rFonts w:hint="eastAsia" w:ascii="宋体" w:hAnsi="宋体" w:cs="宋体"/>
          <w:bCs/>
        </w:rPr>
        <w:t>月添益2001期理财合同不可分割组成部分的理财计划投资协议书，</w:t>
      </w:r>
      <w:r>
        <w:rPr>
          <w:rFonts w:hint="eastAsia" w:ascii="宋体" w:hAnsi="宋体" w:cs="宋体"/>
          <w:bCs/>
          <w:color w:val="auto"/>
          <w:kern w:val="2"/>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指作为杭银理财幸福99</w:t>
      </w:r>
      <w:r>
        <w:rPr>
          <w:rFonts w:hint="eastAsia" w:ascii="宋体" w:hAnsi="宋体" w:cs="宋体"/>
          <w:bCs/>
        </w:rPr>
        <w:t>月添益2001期理财</w:t>
      </w:r>
      <w:r>
        <w:rPr>
          <w:rFonts w:hint="eastAsia" w:ascii="宋体" w:hAnsi="宋体" w:cs="宋体"/>
          <w:bCs/>
          <w:color w:val="auto"/>
          <w:kern w:val="2"/>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17"/>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w:t>
      </w:r>
      <w:r>
        <w:rPr>
          <w:rFonts w:hint="eastAsia" w:ascii="宋体" w:hAnsi="宋体" w:cs="宋体"/>
          <w:bCs/>
        </w:rPr>
        <w:t>月添益2001期理财。</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指管理人向投资者提供申购、赎回交易的时间。</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17"/>
        <w:numPr>
          <w:ilvl w:val="0"/>
          <w:numId w:val="16"/>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指理财计划的申购和赎回开放期内，理财计划任一开放日净赎回申请份额超过上一工作日日终理财计划总份额的〖10%〗，即为发生巨额赎回行为。</w:t>
      </w:r>
    </w:p>
    <w:p>
      <w:pPr>
        <w:pStyle w:val="17"/>
        <w:adjustRightInd/>
        <w:spacing w:line="360" w:lineRule="auto"/>
        <w:rPr>
          <w:rFonts w:hint="eastAsia" w:ascii="宋体" w:hAnsi="宋体" w:cs="宋体"/>
          <w:b/>
          <w:color w:val="auto"/>
          <w:kern w:val="2"/>
        </w:rPr>
      </w:pPr>
    </w:p>
    <w:p>
      <w:pPr>
        <w:pStyle w:val="17"/>
        <w:numPr>
          <w:ilvl w:val="0"/>
          <w:numId w:val="18"/>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382"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4755"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color w:val="auto"/>
                <w:kern w:val="2"/>
              </w:rPr>
            </w:pPr>
            <w:r>
              <w:rPr>
                <w:rFonts w:hint="eastAsia" w:ascii="宋体" w:hAnsi="宋体" w:cs="宋体"/>
                <w:b/>
                <w:color w:val="auto"/>
                <w:kern w:val="2"/>
              </w:rPr>
              <w:t>R2</w:t>
            </w:r>
          </w:p>
        </w:tc>
        <w:tc>
          <w:tcPr>
            <w:tcW w:w="1382" w:type="dxa"/>
            <w:noWrap w:val="0"/>
            <w:vAlign w:val="top"/>
          </w:tcPr>
          <w:p>
            <w:pPr>
              <w:pStyle w:val="17"/>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4755" w:type="dxa"/>
            <w:noWrap w:val="0"/>
            <w:vAlign w:val="top"/>
          </w:tcPr>
          <w:p>
            <w:pPr>
              <w:pStyle w:val="17"/>
              <w:adjustRightInd/>
              <w:spacing w:line="360" w:lineRule="auto"/>
              <w:jc w:val="center"/>
              <w:rPr>
                <w:rFonts w:ascii="宋体" w:hAnsi="宋体" w:cs="宋体"/>
                <w:b/>
                <w:color w:val="auto"/>
                <w:kern w:val="2"/>
              </w:rPr>
            </w:pPr>
            <w:r>
              <w:rPr>
                <w:rFonts w:hint="eastAsia" w:ascii="宋体" w:hAnsi="宋体" w:cs="宋体"/>
                <w:b/>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noWrap w:val="0"/>
            <w:vAlign w:val="top"/>
          </w:tcPr>
          <w:p>
            <w:pPr>
              <w:pStyle w:val="17"/>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17"/>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17"/>
        <w:adjustRightInd/>
        <w:spacing w:line="360" w:lineRule="auto"/>
        <w:rPr>
          <w:rFonts w:hint="eastAsia" w:ascii="宋体" w:hAnsi="宋体" w:cs="宋体"/>
          <w:b/>
          <w:color w:val="auto"/>
          <w:kern w:val="2"/>
        </w:rPr>
      </w:pPr>
    </w:p>
    <w:p>
      <w:pPr>
        <w:pStyle w:val="17"/>
        <w:numPr>
          <w:ilvl w:val="0"/>
          <w:numId w:val="18"/>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杭银理财幸福99</w:t>
            </w:r>
            <w:r>
              <w:rPr>
                <w:rFonts w:hint="eastAsia" w:ascii="宋体" w:hAnsi="宋体" w:cs="宋体"/>
                <w:bCs/>
                <w:sz w:val="21"/>
                <w:szCs w:val="21"/>
              </w:rPr>
              <w:t>月添益2001期</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noWrap w:val="0"/>
            <w:vAlign w:val="center"/>
          </w:tcPr>
          <w:p>
            <w:pPr>
              <w:widowControl/>
              <w:spacing w:line="360" w:lineRule="auto"/>
              <w:contextualSpacing/>
              <w:rPr>
                <w:rFonts w:ascii="宋体" w:hAnsi="宋体" w:cs="宋体"/>
                <w:sz w:val="21"/>
                <w:szCs w:val="21"/>
              </w:rPr>
            </w:pPr>
            <w:r>
              <w:rPr>
                <w:rFonts w:hint="eastAsia" w:ascii="宋体" w:hAnsi="宋体" w:cs="宋体"/>
                <w:sz w:val="21"/>
                <w:szCs w:val="21"/>
              </w:rPr>
              <w:t>月添益2001期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TYG1M2001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本理财计划在全国银行业理财信息登记系统的原登记编码是〖</w:t>
            </w:r>
            <w:r>
              <w:rPr>
                <w:rFonts w:ascii="宋体" w:hAnsi="宋体" w:cs="宋体"/>
                <w:color w:val="000000"/>
                <w:kern w:val="0"/>
                <w:sz w:val="21"/>
                <w:szCs w:val="21"/>
              </w:rPr>
              <w:t>C10920</w:t>
            </w:r>
            <w:r>
              <w:rPr>
                <w:rFonts w:hint="eastAsia" w:ascii="宋体" w:hAnsi="宋体" w:cs="宋体"/>
                <w:color w:val="000000"/>
                <w:kern w:val="0"/>
                <w:sz w:val="21"/>
                <w:szCs w:val="21"/>
              </w:rPr>
              <w:t>20000457</w:t>
            </w:r>
            <w:r>
              <w:rPr>
                <w:rFonts w:hint="eastAsia" w:ascii="宋体" w:hAnsi="宋体" w:cs="宋体"/>
                <w:color w:val="000000"/>
                <w:sz w:val="21"/>
                <w:szCs w:val="21"/>
              </w:rPr>
              <w:t>〗</w:t>
            </w:r>
            <w:r>
              <w:rPr>
                <w:rFonts w:hint="eastAsia" w:ascii="宋体" w:hAnsi="宋体" w:cs="宋体"/>
                <w:color w:val="000000"/>
                <w:kern w:val="0"/>
              </w:rPr>
              <w:t>，</w:t>
            </w:r>
            <w:r>
              <w:rPr>
                <w:rFonts w:hint="eastAsia" w:ascii="宋体" w:hAnsi="宋体" w:cs="宋体"/>
                <w:color w:val="000000"/>
                <w:sz w:val="21"/>
                <w:szCs w:val="21"/>
              </w:rPr>
              <w:t>变更登记后为〖</w:t>
            </w:r>
            <w:r>
              <w:rPr>
                <w:rFonts w:ascii="宋体" w:hAnsi="宋体" w:cs="宋体"/>
                <w:sz w:val="21"/>
                <w:szCs w:val="21"/>
              </w:rPr>
              <w:t>Z70022210002</w:t>
            </w:r>
            <w:r>
              <w:rPr>
                <w:rFonts w:hint="eastAsia" w:ascii="宋体" w:hAnsi="宋体" w:cs="宋体"/>
                <w:sz w:val="21"/>
                <w:szCs w:val="21"/>
              </w:rPr>
              <w:t>71</w:t>
            </w: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noWrap w:val="0"/>
            <w:vAlign w:val="center"/>
          </w:tcPr>
          <w:p>
            <w:pPr>
              <w:widowControl/>
              <w:spacing w:line="360" w:lineRule="auto"/>
              <w:contextualSpacing/>
              <w:rPr>
                <w:rFonts w:hint="eastAsia" w:ascii="宋体" w:hAnsi="宋体" w:cs="宋体"/>
                <w:bCs/>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sz w:val="21"/>
                <w:szCs w:val="21"/>
                <w:lang w:val="en-US" w:eastAsia="zh-CN"/>
              </w:rPr>
              <w:t>A份额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TYG1M2001</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 w:val="0"/>
                <w:bCs/>
                <w:color w:val="000000"/>
                <w:sz w:val="21"/>
                <w:szCs w:val="21"/>
                <w:highlight w:val="none"/>
                <w:lang w:val="en-US" w:eastAsia="zh-CN"/>
              </w:rPr>
              <w:t>B份额（</w:t>
            </w:r>
            <w:r>
              <w:rPr>
                <w:rFonts w:hint="eastAsia" w:ascii="宋体" w:hAnsi="宋体" w:cs="宋体"/>
                <w:bCs w:val="0"/>
                <w:color w:val="000000"/>
                <w:sz w:val="21"/>
                <w:szCs w:val="21"/>
                <w:highlight w:val="none"/>
                <w:lang w:val="en-US" w:eastAsia="zh-CN"/>
              </w:rPr>
              <w:t>销售代码</w:t>
            </w:r>
            <w:r>
              <w:rPr>
                <w:rFonts w:hint="eastAsia" w:ascii="宋体" w:hAnsi="宋体" w:cs="宋体"/>
                <w:szCs w:val="21"/>
              </w:rPr>
              <w:t>〖TYG1M2001</w:t>
            </w:r>
            <w:r>
              <w:rPr>
                <w:rFonts w:hint="eastAsia" w:ascii="宋体" w:hAnsi="宋体" w:cs="宋体"/>
                <w:szCs w:val="21"/>
                <w:lang w:val="en-US" w:eastAsia="zh-CN"/>
              </w:rPr>
              <w:t>B</w:t>
            </w:r>
            <w:r>
              <w:rPr>
                <w:rFonts w:hint="eastAsia" w:ascii="宋体" w:hAnsi="宋体" w:cs="宋体"/>
                <w:szCs w:val="21"/>
              </w:rPr>
              <w:t>〗</w:t>
            </w:r>
            <w:r>
              <w:rPr>
                <w:rFonts w:hint="eastAsia" w:ascii="宋体" w:hAnsi="宋体" w:cs="宋体"/>
                <w:b w:val="0"/>
                <w:bCs/>
                <w:color w:val="000000"/>
                <w:sz w:val="21"/>
                <w:szCs w:val="21"/>
                <w:highlight w:val="none"/>
                <w:lang w:val="en-US" w:eastAsia="zh-CN"/>
              </w:rPr>
              <w:t>）面向</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其他代销机构</w:t>
            </w:r>
            <w:r>
              <w:rPr>
                <w:rFonts w:hint="eastAsia" w:ascii="宋体" w:hAnsi="宋体" w:cs="宋体"/>
                <w:b w:val="0"/>
                <w:bCs/>
                <w:color w:val="000000"/>
                <w:sz w:val="21"/>
                <w:szCs w:val="21"/>
                <w:highlight w:val="none"/>
                <w:lang w:eastAsia="zh-CN"/>
              </w:rPr>
              <w:t>〗</w:t>
            </w:r>
            <w:r>
              <w:rPr>
                <w:rFonts w:hint="eastAsia" w:ascii="宋体" w:hAnsi="宋体" w:cs="宋体"/>
                <w:b w:val="0"/>
                <w:bCs/>
                <w:color w:val="000000"/>
                <w:sz w:val="21"/>
                <w:szCs w:val="21"/>
                <w:highlight w:val="none"/>
                <w:lang w:val="en-US" w:eastAsia="zh-CN"/>
              </w:rPr>
              <w:t>发售。</w:t>
            </w:r>
          </w:p>
          <w:p>
            <w:pPr>
              <w:widowControl/>
              <w:spacing w:line="360" w:lineRule="auto"/>
              <w:contextualSpacing/>
              <w:rPr>
                <w:rFonts w:hint="eastAsia" w:ascii="宋体" w:hAnsi="宋体" w:cs="宋体"/>
                <w:bCs/>
                <w:sz w:val="21"/>
                <w:szCs w:val="21"/>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TYG1M2001C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〖固定收益类〗</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noWrap w:val="0"/>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noWrap w:val="0"/>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A、C份额：合计</w:t>
            </w:r>
            <w:r>
              <w:rPr>
                <w:rFonts w:hint="eastAsia" w:ascii="宋体" w:hAnsi="宋体" w:cs="宋体"/>
                <w:color w:val="000000"/>
                <w:sz w:val="21"/>
                <w:szCs w:val="21"/>
              </w:rPr>
              <w:t>〖100〗亿元</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highlight w:val="none"/>
                <w:lang w:val="en-US" w:eastAsia="zh-CN"/>
              </w:rPr>
              <w:t>B份额：合计</w:t>
            </w:r>
            <w:r>
              <w:rPr>
                <w:rFonts w:hint="eastAsia" w:ascii="宋体" w:hAnsi="宋体" w:cs="宋体"/>
                <w:color w:val="000000"/>
                <w:sz w:val="21"/>
                <w:szCs w:val="21"/>
                <w:highlight w:val="none"/>
              </w:rPr>
              <w:t>〖10〗亿元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〖2020〗年〖4〗月〖17〗日-〖2020〗年〖4〗月〖23〗日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认购期首日〖9：00〗至认购结束日〖17：00〗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封闭期</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〖2020〗年〖4〗月〖24〗日-〖2020〗年〖6〗月〖14〗日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noWrap w:val="0"/>
            <w:vAlign w:val="center"/>
          </w:tcPr>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起点</w:t>
            </w:r>
            <w:r>
              <w:rPr>
                <w:rFonts w:hint="eastAsia" w:ascii="宋体" w:hAnsi="宋体" w:cs="宋体"/>
                <w:sz w:val="21"/>
                <w:szCs w:val="21"/>
              </w:rPr>
              <w:t>〖1〗</w:t>
            </w:r>
            <w:r>
              <w:rPr>
                <w:rFonts w:hint="eastAsia" w:ascii="宋体" w:hAnsi="宋体" w:cs="宋体"/>
                <w:color w:val="000000"/>
                <w:sz w:val="21"/>
                <w:szCs w:val="21"/>
              </w:rPr>
              <w:t>元整，超过认购/申购起点部分，应为</w:t>
            </w:r>
            <w:r>
              <w:rPr>
                <w:rFonts w:hint="eastAsia" w:ascii="宋体" w:hAnsi="宋体" w:cs="宋体"/>
                <w:sz w:val="21"/>
                <w:szCs w:val="21"/>
              </w:rPr>
              <w:t>〖1〗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kern w:val="0"/>
                <w:sz w:val="21"/>
                <w:szCs w:val="21"/>
              </w:rPr>
            </w:pPr>
            <w:r>
              <w:rPr>
                <w:rFonts w:hint="eastAsia" w:ascii="宋体" w:hAnsi="宋体" w:cs="宋体"/>
                <w:sz w:val="21"/>
                <w:szCs w:val="21"/>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rPr>
              <w:t>〖2000〗</w:t>
            </w:r>
            <w:r>
              <w:rPr>
                <w:rFonts w:hint="eastAsia" w:ascii="宋体" w:hAnsi="宋体" w:cs="宋体"/>
                <w:color w:val="000000"/>
                <w:sz w:val="21"/>
                <w:szCs w:val="21"/>
              </w:rPr>
              <w:t>万元，则管理人可宣布本理财计划不成立并在原定理财计划成立日当日通过管理人或销售机构发布不成立信息，投资者购买的理财资金将在原定成立日后2个工作日内划转至投资者指定理财账户，</w:t>
            </w:r>
            <w:r>
              <w:rPr>
                <w:rFonts w:hint="eastAsia" w:ascii="宋体" w:hAnsi="宋体" w:cs="宋体"/>
                <w:b/>
                <w:color w:val="000000"/>
                <w:sz w:val="21"/>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开放期</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理财计划</w:t>
            </w:r>
            <w:r>
              <w:rPr>
                <w:rFonts w:hint="eastAsia" w:ascii="宋体" w:hAnsi="宋体" w:cs="宋体"/>
                <w:sz w:val="21"/>
                <w:szCs w:val="21"/>
              </w:rPr>
              <w:t>〖每月〗开放一次,</w:t>
            </w:r>
            <w:r>
              <w:rPr>
                <w:rFonts w:hint="eastAsia" w:ascii="宋体" w:hAnsi="宋体" w:cs="宋体"/>
                <w:sz w:val="21"/>
                <w:szCs w:val="21"/>
                <w:lang w:val="en-US" w:eastAsia="zh-CN"/>
              </w:rPr>
              <w:t>A、C份额</w:t>
            </w:r>
            <w:r>
              <w:rPr>
                <w:rFonts w:hint="eastAsia" w:ascii="宋体" w:hAnsi="宋体" w:cs="宋体"/>
                <w:color w:val="000000"/>
                <w:sz w:val="21"/>
                <w:szCs w:val="21"/>
              </w:rPr>
              <w:t>〖开放期为产品确认日前5-7个工作日〗，</w:t>
            </w:r>
            <w:r>
              <w:rPr>
                <w:rFonts w:hint="eastAsia" w:ascii="宋体" w:hAnsi="宋体" w:cs="宋体"/>
                <w:sz w:val="21"/>
                <w:szCs w:val="21"/>
                <w:highlight w:val="none"/>
                <w:lang w:val="en-US" w:eastAsia="zh-CN"/>
              </w:rPr>
              <w:t>B份额</w:t>
            </w:r>
            <w:r>
              <w:rPr>
                <w:rFonts w:hint="eastAsia" w:ascii="宋体" w:hAnsi="宋体" w:cs="宋体"/>
                <w:color w:val="000000"/>
                <w:sz w:val="21"/>
                <w:szCs w:val="21"/>
                <w:highlight w:val="none"/>
              </w:rPr>
              <w:t>〖开放期为产品确认日前</w:t>
            </w: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个工作日〗</w:t>
            </w:r>
            <w:r>
              <w:rPr>
                <w:rFonts w:hint="eastAsia" w:ascii="宋体" w:hAnsi="宋体" w:cs="宋体"/>
                <w:color w:val="000000"/>
                <w:sz w:val="21"/>
                <w:szCs w:val="21"/>
              </w:rPr>
              <w:t>，</w:t>
            </w:r>
            <w:r>
              <w:rPr>
                <w:rFonts w:hint="eastAsia" w:ascii="宋体" w:hAnsi="宋体" w:cs="宋体"/>
                <w:sz w:val="21"/>
                <w:szCs w:val="21"/>
              </w:rPr>
              <w:t>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1.本理财计划在每个开放期的开放日工作时间均可进行申购和赎回，申购和赎回申请将在确认日，即开放期后的第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2.工作时间为每个工作日上午〖9:00〗至下午〖17:00〗。确认日如遇非工作日，则顺延至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3.认购/开放期内提交的交易申请，在产品成立日/确认日前一日下午17:00之前可以撤单。</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4.上述交易安排如有调整，请以管理人公告为准。</w:t>
            </w:r>
          </w:p>
          <w:p>
            <w:pPr>
              <w:widowControl/>
              <w:spacing w:line="360" w:lineRule="auto"/>
              <w:contextualSpacing/>
              <w:rPr>
                <w:rFonts w:ascii="宋体" w:hAnsi="宋体" w:cs="宋体"/>
                <w:bCs/>
                <w:sz w:val="21"/>
                <w:szCs w:val="21"/>
              </w:rPr>
            </w:pPr>
            <w:r>
              <w:rPr>
                <w:rFonts w:hint="eastAsia" w:ascii="宋体" w:hAnsi="宋体" w:cs="宋体"/>
                <w:bCs/>
                <w:sz w:val="21"/>
                <w:szCs w:val="21"/>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10%</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lang w:val="en-US" w:eastAsia="zh-CN"/>
              </w:rPr>
              <w:t>各份额：</w:t>
            </w:r>
            <w:r>
              <w:rPr>
                <w:rFonts w:hint="eastAsia" w:ascii="宋体" w:hAnsi="宋体" w:cs="宋体"/>
                <w:sz w:val="21"/>
                <w:szCs w:val="21"/>
              </w:rPr>
              <w:t>单户最高存续份额为〖1亿份〗。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申购份额=申购金额/确认日前一日的单位净值。申购</w:t>
            </w:r>
            <w:r>
              <w:rPr>
                <w:rFonts w:hint="eastAsia" w:ascii="宋体" w:hAnsi="宋体" w:cs="宋体"/>
                <w:color w:val="000000"/>
                <w:sz w:val="21"/>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单位净值=理财计划估值日理财计划总净值/理财计划总份额，单位净值</w:t>
            </w:r>
            <w:r>
              <w:rPr>
                <w:rFonts w:hint="eastAsia" w:ascii="宋体" w:hAnsi="宋体" w:cs="宋体"/>
                <w:sz w:val="21"/>
                <w:szCs w:val="21"/>
              </w:rPr>
              <w:t>〖</w:t>
            </w:r>
            <w:r>
              <w:rPr>
                <w:rFonts w:hint="eastAsia" w:ascii="宋体" w:hAnsi="宋体" w:cs="宋体"/>
                <w:color w:val="000000"/>
                <w:sz w:val="21"/>
                <w:szCs w:val="21"/>
              </w:rPr>
              <w:t>保留小数点后四位</w:t>
            </w:r>
            <w:r>
              <w:rPr>
                <w:rFonts w:hint="eastAsia" w:ascii="宋体" w:hAnsi="宋体" w:cs="宋体"/>
                <w:sz w:val="21"/>
                <w:szCs w:val="21"/>
              </w:rPr>
              <w:t>〗，四位后去尾</w:t>
            </w:r>
            <w:r>
              <w:rPr>
                <w:rFonts w:hint="eastAsia" w:ascii="宋体" w:hAnsi="宋体" w:cs="宋体"/>
                <w:color w:val="000000"/>
                <w:sz w:val="21"/>
                <w:szCs w:val="21"/>
              </w:rPr>
              <w:t>。</w:t>
            </w:r>
          </w:p>
          <w:p>
            <w:pPr>
              <w:widowControl/>
              <w:spacing w:line="360" w:lineRule="auto"/>
              <w:contextualSpacing/>
              <w:rPr>
                <w:rFonts w:hint="eastAsia" w:ascii="宋体" w:hAnsi="宋体" w:cs="宋体"/>
                <w:b/>
                <w:color w:val="000000"/>
                <w:sz w:val="21"/>
                <w:szCs w:val="21"/>
              </w:rPr>
            </w:pPr>
            <w:r>
              <w:rPr>
                <w:rFonts w:hint="eastAsia" w:ascii="宋体" w:hAnsi="宋体" w:cs="宋体"/>
                <w:color w:val="000000"/>
                <w:sz w:val="21"/>
                <w:szCs w:val="21"/>
              </w:rPr>
              <w:t>理财计划总净值=理财计划认购总额+理财计划所获总收益-理财计划总费用（包括但不限于固定管理费、托管费、销售服务费、浮动管理费（如有）等）。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1.赎回资金确认后，</w:t>
            </w:r>
            <w:r>
              <w:rPr>
                <w:rFonts w:hint="eastAsia" w:ascii="宋体" w:hAnsi="宋体" w:cs="宋体"/>
                <w:color w:val="000000"/>
                <w:sz w:val="21"/>
                <w:szCs w:val="21"/>
                <w:highlight w:val="none"/>
              </w:rPr>
              <w:t>最快</w:t>
            </w:r>
            <w:r>
              <w:rPr>
                <w:rFonts w:hint="eastAsia" w:ascii="宋体" w:hAnsi="宋体" w:cs="宋体"/>
                <w:sz w:val="21"/>
                <w:szCs w:val="21"/>
                <w:highlight w:val="none"/>
                <w:lang w:val="en-US" w:eastAsia="zh-CN"/>
              </w:rPr>
              <w:t>于确认日当</w:t>
            </w:r>
            <w:r>
              <w:rPr>
                <w:rFonts w:hint="eastAsia" w:ascii="宋体" w:hAnsi="宋体" w:cs="宋体"/>
                <w:color w:val="000000"/>
                <w:sz w:val="21"/>
                <w:szCs w:val="21"/>
                <w:highlight w:val="none"/>
              </w:rPr>
              <w:t>日</w:t>
            </w:r>
            <w:r>
              <w:rPr>
                <w:rFonts w:hint="eastAsia" w:ascii="宋体" w:hAnsi="宋体" w:cs="宋体"/>
                <w:color w:val="000000"/>
                <w:sz w:val="21"/>
                <w:szCs w:val="21"/>
              </w:rPr>
              <w:t>，最晚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2.理财计划到期后，最快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noWrap w:val="0"/>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在满足收益分配基准日理财计划份额净值大于1元的情况下，管理人</w:t>
            </w:r>
            <w:r>
              <w:rPr>
                <w:rFonts w:hint="eastAsia" w:ascii="宋体" w:hAnsi="宋体" w:cs="宋体"/>
                <w:sz w:val="21"/>
                <w:szCs w:val="21"/>
              </w:rPr>
              <w:t>〖不</w:t>
            </w:r>
            <w:r>
              <w:rPr>
                <w:rFonts w:hint="eastAsia" w:ascii="宋体" w:hAnsi="宋体" w:cs="宋体"/>
                <w:color w:val="000000"/>
                <w:sz w:val="21"/>
                <w:szCs w:val="21"/>
              </w:rPr>
              <w:t>定期</w:t>
            </w:r>
            <w:r>
              <w:rPr>
                <w:rFonts w:hint="eastAsia" w:ascii="宋体" w:hAnsi="宋体" w:cs="宋体"/>
                <w:sz w:val="21"/>
                <w:szCs w:val="21"/>
              </w:rPr>
              <w:t>〗</w:t>
            </w:r>
            <w:r>
              <w:rPr>
                <w:rFonts w:hint="eastAsia" w:ascii="宋体" w:hAnsi="宋体" w:cs="宋体"/>
                <w:color w:val="000000"/>
                <w:sz w:val="21"/>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业绩比较基准</w:t>
            </w:r>
          </w:p>
        </w:tc>
        <w:tc>
          <w:tcPr>
            <w:tcW w:w="7185" w:type="dxa"/>
            <w:noWrap w:val="0"/>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sz w:val="21"/>
                <w:szCs w:val="21"/>
              </w:rPr>
              <w:t>本理财计划</w:t>
            </w:r>
            <w:r>
              <w:rPr>
                <w:rFonts w:hint="eastAsia" w:ascii="宋体" w:hAnsi="宋体" w:cs="宋体"/>
                <w:sz w:val="21"/>
                <w:szCs w:val="21"/>
                <w:lang w:val="en-US" w:eastAsia="zh-CN"/>
              </w:rPr>
              <w:t>各份额</w:t>
            </w:r>
            <w:r>
              <w:rPr>
                <w:rFonts w:hint="eastAsia" w:ascii="宋体" w:hAnsi="宋体" w:cs="宋体"/>
                <w:sz w:val="21"/>
                <w:szCs w:val="21"/>
              </w:rPr>
              <w:t>业绩比较基准为〖</w:t>
            </w:r>
            <w:r>
              <w:rPr>
                <w:rFonts w:hint="eastAsia" w:ascii="宋体" w:hAnsi="宋体" w:cs="宋体"/>
                <w:color w:val="000000"/>
                <w:sz w:val="21"/>
                <w:szCs w:val="21"/>
                <w:highlight w:val="none"/>
                <w:lang w:val="en-US" w:eastAsia="zh-CN"/>
              </w:rPr>
              <w:t>中国人民银行公布的7天通知存款利率</w:t>
            </w:r>
            <w:r>
              <w:rPr>
                <w:rFonts w:hint="eastAsia" w:ascii="宋体" w:hAnsi="宋体" w:cs="宋体"/>
                <w:sz w:val="21"/>
                <w:szCs w:val="21"/>
              </w:rPr>
              <w:t>〗（年化）。</w:t>
            </w:r>
          </w:p>
          <w:p>
            <w:pPr>
              <w:widowControl/>
              <w:spacing w:line="360" w:lineRule="auto"/>
              <w:jc w:val="left"/>
              <w:rPr>
                <w:rFonts w:hint="eastAsia" w:ascii="宋体" w:hAnsi="宋体" w:cs="宋体"/>
                <w:b/>
                <w:bCs/>
                <w:sz w:val="21"/>
                <w:szCs w:val="21"/>
              </w:rPr>
            </w:pPr>
            <w:r>
              <w:rPr>
                <w:rFonts w:hint="eastAsia" w:ascii="宋体" w:hAnsi="宋体" w:cs="宋体"/>
                <w:b/>
                <w:bCs/>
                <w:sz w:val="21"/>
                <w:szCs w:val="21"/>
              </w:rPr>
              <w:t>业绩基准测算依据：</w:t>
            </w:r>
          </w:p>
          <w:p>
            <w:pPr>
              <w:widowControl/>
              <w:spacing w:line="360" w:lineRule="auto"/>
              <w:jc w:val="left"/>
              <w:rPr>
                <w:rFonts w:ascii="宋体" w:hAnsi="宋体" w:cs="宋体"/>
                <w:b/>
                <w:bCs/>
                <w:sz w:val="21"/>
                <w:szCs w:val="21"/>
              </w:rPr>
            </w:pPr>
            <w:r>
              <w:rPr>
                <w:rFonts w:hint="eastAsia" w:ascii="宋体" w:hAnsi="宋体" w:cs="宋体"/>
                <w:b/>
                <w:bCs/>
                <w:sz w:val="21"/>
                <w:szCs w:val="21"/>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rPr>
            </w:pPr>
            <w:r>
              <w:rPr>
                <w:rFonts w:hint="eastAsia" w:ascii="宋体" w:hAnsi="宋体" w:cs="宋体"/>
                <w:sz w:val="21"/>
                <w:szCs w:val="21"/>
              </w:rPr>
              <w:t>管理人有权根据市场情况及理财计划运作情况调整业绩基准，并至少于新业绩基准启用前</w:t>
            </w:r>
            <w:r>
              <w:rPr>
                <w:rFonts w:hint="eastAsia" w:ascii="宋体" w:hAnsi="宋体" w:cs="宋体"/>
                <w:kern w:val="0"/>
                <w:sz w:val="21"/>
                <w:szCs w:val="21"/>
              </w:rPr>
              <w:t>〖3〗</w:t>
            </w:r>
            <w:r>
              <w:rPr>
                <w:rFonts w:hint="eastAsia" w:ascii="宋体" w:hAnsi="宋体" w:cs="宋体"/>
                <w:sz w:val="21"/>
                <w:szCs w:val="21"/>
              </w:rPr>
              <w:t>个工作日公告。</w:t>
            </w:r>
          </w:p>
          <w:p>
            <w:pPr>
              <w:widowControl/>
              <w:spacing w:line="360" w:lineRule="auto"/>
              <w:contextualSpacing/>
              <w:rPr>
                <w:rFonts w:hint="eastAsia" w:ascii="宋体" w:hAnsi="宋体" w:cs="宋体"/>
                <w:color w:val="000000"/>
                <w:sz w:val="21"/>
                <w:szCs w:val="21"/>
              </w:rPr>
            </w:pPr>
            <w:r>
              <w:rPr>
                <w:rFonts w:hint="eastAsia" w:ascii="宋体" w:hAnsi="宋体" w:cs="宋体"/>
                <w:b/>
                <w:sz w:val="21"/>
                <w:szCs w:val="21"/>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w:t>
            </w:r>
            <w:r>
              <w:rPr>
                <w:rFonts w:hint="eastAsia" w:ascii="宋体" w:hAnsi="宋体" w:cs="宋体"/>
                <w:b/>
                <w:sz w:val="21"/>
                <w:szCs w:val="21"/>
                <w:lang w:eastAsia="zh-CN"/>
              </w:rPr>
              <w:t>不是预期收益率，</w:t>
            </w:r>
            <w:r>
              <w:rPr>
                <w:rFonts w:hint="eastAsia" w:ascii="宋体" w:hAnsi="宋体" w:cs="宋体"/>
                <w:b/>
                <w:sz w:val="21"/>
                <w:szCs w:val="21"/>
              </w:rPr>
              <w:t>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noWrap w:val="0"/>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3</w:t>
            </w:r>
            <w:r>
              <w:rPr>
                <w:rFonts w:hint="eastAsia" w:ascii="宋体" w:hAnsi="宋体" w:cs="宋体"/>
                <w:sz w:val="21"/>
                <w:szCs w:val="21"/>
              </w:rPr>
              <w:t>0%〗</w:t>
            </w:r>
            <w:r>
              <w:rPr>
                <w:rFonts w:hint="eastAsia" w:ascii="宋体" w:hAnsi="宋体" w:cs="宋体"/>
                <w:color w:val="000000"/>
                <w:sz w:val="21"/>
                <w:szCs w:val="21"/>
              </w:rPr>
              <w:t>的销售服务费</w:t>
            </w:r>
            <w:r>
              <w:rPr>
                <w:rFonts w:hint="eastAsia" w:ascii="宋体" w:hAnsi="宋体" w:cs="宋体"/>
                <w:color w:val="000000"/>
                <w:sz w:val="21"/>
                <w:szCs w:val="21"/>
                <w:lang w:eastAsia="zh-CN"/>
              </w:rPr>
              <w:t>，</w:t>
            </w:r>
            <w:r>
              <w:rPr>
                <w:rFonts w:hint="eastAsia" w:ascii="宋体" w:hAnsi="宋体" w:cs="宋体"/>
                <w:sz w:val="21"/>
                <w:szCs w:val="21"/>
                <w:highlight w:val="none"/>
                <w:lang w:val="en-US" w:eastAsia="zh-CN"/>
              </w:rPr>
              <w:t>B份额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〖0.</w:t>
            </w:r>
            <w:r>
              <w:rPr>
                <w:rFonts w:hint="eastAsia" w:ascii="宋体" w:hAnsi="宋体" w:cs="宋体"/>
                <w:sz w:val="21"/>
                <w:szCs w:val="21"/>
                <w:highlight w:val="none"/>
                <w:lang w:val="en-US" w:eastAsia="zh-CN"/>
              </w:rPr>
              <w:t>3</w:t>
            </w:r>
            <w:r>
              <w:rPr>
                <w:rFonts w:hint="eastAsia" w:ascii="宋体" w:hAnsi="宋体" w:cs="宋体"/>
                <w:sz w:val="21"/>
                <w:szCs w:val="21"/>
                <w:highlight w:val="none"/>
              </w:rPr>
              <w:t>0%〗</w:t>
            </w:r>
            <w:r>
              <w:rPr>
                <w:rFonts w:hint="eastAsia" w:ascii="宋体" w:hAnsi="宋体" w:cs="宋体"/>
                <w:color w:val="000000"/>
                <w:sz w:val="21"/>
                <w:szCs w:val="21"/>
                <w:highlight w:val="none"/>
              </w:rPr>
              <w:t>的销售服务费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0%〗</w:t>
            </w:r>
            <w:r>
              <w:rPr>
                <w:rFonts w:hint="eastAsia" w:ascii="宋体" w:hAnsi="宋体" w:cs="宋体"/>
                <w:color w:val="000000"/>
                <w:sz w:val="21"/>
                <w:szCs w:val="21"/>
              </w:rPr>
              <w:t>的固定管理费</w:t>
            </w:r>
            <w:r>
              <w:rPr>
                <w:rFonts w:hint="eastAsia" w:ascii="宋体" w:hAnsi="宋体" w:cs="宋体"/>
                <w:color w:val="000000"/>
                <w:sz w:val="21"/>
                <w:szCs w:val="21"/>
                <w:lang w:eastAsia="zh-CN"/>
              </w:rPr>
              <w:t>，</w:t>
            </w:r>
            <w:r>
              <w:rPr>
                <w:rFonts w:hint="eastAsia" w:ascii="宋体" w:hAnsi="宋体" w:cs="宋体"/>
                <w:sz w:val="21"/>
                <w:szCs w:val="21"/>
                <w:highlight w:val="none"/>
                <w:lang w:val="en-US" w:eastAsia="zh-CN"/>
              </w:rPr>
              <w:t>B份额</w:t>
            </w:r>
            <w:r>
              <w:rPr>
                <w:rFonts w:hint="eastAsia" w:ascii="宋体" w:hAnsi="宋体" w:cs="宋体"/>
                <w:color w:val="000000"/>
                <w:sz w:val="21"/>
                <w:szCs w:val="21"/>
                <w:highlight w:val="none"/>
              </w:rPr>
              <w:t>收取年化</w:t>
            </w:r>
            <w:r>
              <w:rPr>
                <w:rFonts w:hint="eastAsia" w:ascii="宋体" w:hAnsi="宋体" w:cs="宋体"/>
                <w:sz w:val="21"/>
                <w:szCs w:val="21"/>
                <w:highlight w:val="none"/>
              </w:rPr>
              <w:t>〖0.</w:t>
            </w:r>
            <w:r>
              <w:rPr>
                <w:rFonts w:hint="eastAsia" w:ascii="宋体" w:hAnsi="宋体" w:cs="宋体"/>
                <w:sz w:val="21"/>
                <w:szCs w:val="21"/>
                <w:highlight w:val="none"/>
                <w:lang w:val="en-US" w:eastAsia="zh-CN"/>
              </w:rPr>
              <w:t>2</w:t>
            </w:r>
            <w:r>
              <w:rPr>
                <w:rFonts w:hint="eastAsia" w:ascii="宋体" w:hAnsi="宋体" w:cs="宋体"/>
                <w:sz w:val="21"/>
                <w:szCs w:val="21"/>
                <w:highlight w:val="none"/>
              </w:rPr>
              <w:t>0%〗</w:t>
            </w:r>
            <w:r>
              <w:rPr>
                <w:rFonts w:hint="eastAsia" w:ascii="宋体" w:hAnsi="宋体" w:cs="宋体"/>
                <w:color w:val="000000"/>
                <w:sz w:val="21"/>
                <w:szCs w:val="21"/>
                <w:highlight w:val="none"/>
              </w:rPr>
              <w:t>的固定管理费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〖0.30%〗</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7.浮动管理费。本理财计划免除浮动管理费。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noWrap w:val="0"/>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noWrap w:val="0"/>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本理财计划主要投资于符合监管要求的各类资产：</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权益类资产：包括国内发行上市优先股以及其他符合监管要求的权益类资产（不包括未上市企业股权）。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w:t>
      </w:r>
      <w:r>
        <w:rPr>
          <w:rFonts w:hint="eastAsia" w:ascii="宋体" w:hAnsi="宋体" w:cs="宋体"/>
          <w:bCs/>
          <w:lang w:val="en-US" w:eastAsia="zh-CN"/>
        </w:rPr>
        <w:t>总</w:t>
      </w:r>
      <w:r>
        <w:rPr>
          <w:rFonts w:hint="eastAsia" w:ascii="宋体" w:hAnsi="宋体" w:cs="宋体"/>
          <w:bCs/>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noWrap w:val="0"/>
            <w:vAlign w:val="top"/>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rPr>
            </w:pPr>
          </w:p>
        </w:tc>
        <w:tc>
          <w:tcPr>
            <w:tcW w:w="4740" w:type="dxa"/>
            <w:noWrap w:val="0"/>
            <w:vAlign w:val="top"/>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noWrap w:val="0"/>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17"/>
        <w:spacing w:line="360" w:lineRule="auto"/>
        <w:ind w:firstLine="480" w:firstLineChars="200"/>
        <w:rPr>
          <w:rFonts w:hint="eastAsia" w:ascii="宋体" w:hAnsi="宋体" w:cs="宋体"/>
          <w:b/>
        </w:rPr>
      </w:pPr>
      <w:r>
        <w:rPr>
          <w:rFonts w:hint="eastAsia" w:ascii="宋体" w:cs="宋体"/>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pStyle w:val="17"/>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财计划持有单只证券或单只公募</w:t>
      </w:r>
      <w:r>
        <w:rPr>
          <w:rFonts w:ascii="宋体" w:hAnsi="宋体" w:cs="宋体"/>
          <w:bCs/>
        </w:rPr>
        <w:fldChar w:fldCharType="begin"/>
      </w:r>
      <w:r>
        <w:rPr>
          <w:rFonts w:ascii="宋体" w:hAnsi="宋体" w:cs="宋体"/>
          <w:bCs/>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rPr>
        <w:fldChar w:fldCharType="separate"/>
      </w:r>
      <w:r>
        <w:rPr>
          <w:rFonts w:ascii="宋体" w:hAnsi="宋体" w:cs="宋体"/>
          <w:bCs/>
        </w:rPr>
        <w:t>证券投资基金</w:t>
      </w:r>
      <w:r>
        <w:rPr>
          <w:rFonts w:ascii="宋体" w:hAnsi="宋体" w:cs="宋体"/>
          <w:bCs/>
        </w:rPr>
        <w:fldChar w:fldCharType="end"/>
      </w:r>
      <w:r>
        <w:rPr>
          <w:rFonts w:ascii="宋体" w:hAnsi="宋体" w:cs="宋体"/>
          <w:bCs/>
        </w:rPr>
        <w:t>的市值不得超过该理财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w:t>
      </w:r>
      <w:r>
        <w:rPr>
          <w:rFonts w:hint="eastAsia" w:ascii="宋体" w:hAnsi="宋体"/>
        </w:rPr>
        <w:t>开放式公募</w:t>
      </w:r>
      <w:r>
        <w:rPr>
          <w:rFonts w:hint="eastAsia" w:ascii="宋体" w:hAnsi="宋体" w:cs="宋体"/>
          <w:bCs/>
        </w:rPr>
        <w:t>理财计划</w:t>
      </w:r>
      <w:r>
        <w:rPr>
          <w:rFonts w:hint="eastAsia" w:ascii="宋体" w:hAnsi="宋体"/>
        </w:rPr>
        <w:t>投资单一上市公司发行的股票,不得超过该上市公司可流通股票的15%。</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本理财计划的总资产不得超过净资产的140%。</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计划资产净值5%的现金或者到期日在一年以内的国债、中央银行票据和政策性金融债券。</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rPr>
        <w:fldChar w:fldCharType="begin"/>
      </w:r>
      <w:r>
        <w:rPr>
          <w:rFonts w:ascii="宋体" w:hAnsi="宋体" w:cs="宋体"/>
          <w:bCs/>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rP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6233" w:type="dxa"/>
            <w:noWrap w:val="0"/>
            <w:vAlign w:val="top"/>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6233" w:type="dxa"/>
            <w:noWrap w:val="0"/>
            <w:vAlign w:val="top"/>
          </w:tcPr>
          <w:p>
            <w:pPr>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6233" w:type="dxa"/>
            <w:noWrap w:val="0"/>
            <w:vAlign w:val="top"/>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8265" w:type="dxa"/>
        <w:tblInd w:w="0" w:type="dxa"/>
        <w:tblLayout w:type="fixed"/>
        <w:tblCellMar>
          <w:top w:w="0" w:type="dxa"/>
          <w:left w:w="0" w:type="dxa"/>
          <w:bottom w:w="0" w:type="dxa"/>
          <w:right w:w="0" w:type="dxa"/>
        </w:tblCellMar>
      </w:tblPr>
      <w:tblGrid>
        <w:gridCol w:w="1071"/>
        <w:gridCol w:w="2175"/>
        <w:gridCol w:w="1179"/>
        <w:gridCol w:w="3840"/>
      </w:tblGrid>
      <w:tr>
        <w:tblPrEx>
          <w:tblLayout w:type="fixed"/>
          <w:tblCellMar>
            <w:top w:w="0" w:type="dxa"/>
            <w:left w:w="0" w:type="dxa"/>
            <w:bottom w:w="0" w:type="dxa"/>
            <w:right w:w="0" w:type="dxa"/>
          </w:tblCellMar>
        </w:tblPrEx>
        <w:trPr>
          <w:trHeight w:val="570" w:hRule="atLeast"/>
        </w:trPr>
        <w:tc>
          <w:tcPr>
            <w:tcW w:w="1071"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kern w:val="0"/>
                <w:sz w:val="21"/>
                <w:szCs w:val="21"/>
                <w:lang w:bidi="ar"/>
              </w:rPr>
            </w:pPr>
          </w:p>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销售机构信息</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杭州银行股份有限公司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bidi="ar"/>
              </w:rPr>
              <w:t>浙江省杭州市上城区解放东路168号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95398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兴业银行股份有限公司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上海市浦东新区银城路 167 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95561</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江苏省南京市中华路26号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95319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厦门市思明区湖滨北路101号商业银行大厦</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400-858-8888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厦门国际银行股份有限公司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厦门市思明区鹭江道8-10号国际银行大厦1-6层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400-1623-623</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富邦华一银行有限公司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中国(上海)自由贸易试验区世纪大道1168号A座101室、18楼、19楼及20楼</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8621—962811</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宁波鄞州农村商业银行股份有限公司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浙江省宁波市鄞州区民惠西路88号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956058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深圳前海微众银行股份有限公司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广东省深圳市南山区沙河西路1819号深圳湾科技生态园7栋A座</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95384</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吉林亿联银行股份有限公司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吉林省长春市南关区人民大街10606号东北亚国际金融中心一期北楼</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9</w:t>
            </w:r>
            <w:r>
              <w:rPr>
                <w:rFonts w:hint="eastAsia" w:ascii="宋体" w:hAnsi="宋体" w:eastAsia="宋体" w:cs="宋体"/>
                <w:color w:val="000000"/>
                <w:kern w:val="0"/>
                <w:sz w:val="21"/>
                <w:szCs w:val="21"/>
                <w:lang w:val="en-US" w:eastAsia="zh-CN" w:bidi="ar"/>
              </w:rPr>
              <w:t>5396</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重庆富民银行股份有限公司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重庆市渝北区财富东路2号涉外商务区一期B1栋</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4008－108－999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中信百信银行股份有限公司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北京市朝阳区安定路5号院3号楼8层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956</w:t>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86</w:t>
            </w:r>
          </w:p>
        </w:tc>
      </w:tr>
      <w:tr>
        <w:tblPrEx>
          <w:tblLayout w:type="fixed"/>
          <w:tblCellMar>
            <w:top w:w="0" w:type="dxa"/>
            <w:left w:w="0" w:type="dxa"/>
            <w:bottom w:w="0" w:type="dxa"/>
            <w:right w:w="0" w:type="dxa"/>
          </w:tblCellMar>
        </w:tblPrEx>
        <w:trPr>
          <w:trHeight w:val="56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bidi="ar"/>
              </w:rPr>
              <w:t>江苏苏</w:t>
            </w:r>
            <w:r>
              <w:rPr>
                <w:rFonts w:hint="eastAsia" w:ascii="宋体" w:hAnsi="宋体" w:cs="宋体"/>
                <w:color w:val="000000"/>
                <w:kern w:val="0"/>
                <w:sz w:val="21"/>
                <w:szCs w:val="21"/>
                <w:lang w:val="en-US" w:eastAsia="zh-CN" w:bidi="ar"/>
              </w:rPr>
              <w:t>商</w:t>
            </w:r>
            <w:r>
              <w:rPr>
                <w:rFonts w:hint="eastAsia" w:ascii="宋体" w:hAnsi="宋体" w:cs="宋体"/>
                <w:color w:val="000000"/>
                <w:kern w:val="0"/>
                <w:sz w:val="21"/>
                <w:szCs w:val="21"/>
                <w:lang w:bidi="ar"/>
              </w:rPr>
              <w:t>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bidi="ar"/>
              </w:rPr>
              <w:t>南京市建邺区庐山路248号4号楼7、8、9、27、28、29层，4号楼裙楼第1、2层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bidi="ar"/>
              </w:rPr>
              <w:t>95</w:t>
            </w:r>
            <w:r>
              <w:rPr>
                <w:rFonts w:hint="eastAsia" w:ascii="宋体" w:hAnsi="宋体" w:cs="宋体"/>
                <w:color w:val="000000"/>
                <w:kern w:val="0"/>
                <w:sz w:val="21"/>
                <w:szCs w:val="21"/>
                <w:lang w:val="en-US" w:eastAsia="zh-CN" w:bidi="ar"/>
              </w:rPr>
              <w:t>6101</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石嘴山银行股份有限公司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宁夏回族自治区石嘴山市大武口区朝阳西街39号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0951-96789</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中信银行股份有限公司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北京市朝阳区光华路10号院1号楼6-30层、32-42层</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95558</w:t>
            </w:r>
          </w:p>
        </w:tc>
      </w:tr>
      <w:tr>
        <w:tblPrEx>
          <w:tblLayout w:type="fixed"/>
          <w:tblCellMar>
            <w:top w:w="0" w:type="dxa"/>
            <w:left w:w="0" w:type="dxa"/>
            <w:bottom w:w="0" w:type="dxa"/>
            <w:right w:w="0" w:type="dxa"/>
          </w:tblCellMar>
        </w:tblPrEx>
        <w:trPr>
          <w:trHeight w:val="29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齐鲁银行股份有限公司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山东省济南市历下区经十路10817号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400-609-6588</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苏州银行股份有限公司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江苏省苏州工业园区钟园路728号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96067</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日照银行股份有限公司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山东省日照市烟台路197号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400-68-96588</w:t>
            </w:r>
          </w:p>
        </w:tc>
      </w:tr>
      <w:tr>
        <w:tblPrEx>
          <w:tblLayout w:type="fixed"/>
          <w:tblCellMar>
            <w:top w:w="0" w:type="dxa"/>
            <w:left w:w="0" w:type="dxa"/>
            <w:bottom w:w="0" w:type="dxa"/>
            <w:right w:w="0" w:type="dxa"/>
          </w:tblCellMar>
        </w:tblPrEx>
        <w:trPr>
          <w:trHeight w:val="57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广东南粤银行股份有限公司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湛江经济技术开发区乐山路27号财富汇金融中心1层01、02号商铺、2层01号商铺、3层01号商铺、39-45层办公室</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4000-961818</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东莞市莞城区体育路21号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956033</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浙商银行股份有限公司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浙江省杭州市萧山区鸿宁路1788号</w:t>
            </w:r>
          </w:p>
        </w:tc>
      </w:tr>
      <w:tr>
        <w:tblPrEx>
          <w:tblLayout w:type="fixed"/>
          <w:tblCellMar>
            <w:top w:w="0" w:type="dxa"/>
            <w:left w:w="0" w:type="dxa"/>
            <w:bottom w:w="0" w:type="dxa"/>
            <w:right w:w="0" w:type="dxa"/>
          </w:tblCellMar>
        </w:tblPrEx>
        <w:trPr>
          <w:trHeight w:val="285"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95527</w:t>
            </w:r>
          </w:p>
        </w:tc>
      </w:tr>
      <w:tr>
        <w:tblPrEx>
          <w:tblLayout w:type="fixed"/>
          <w:tblCellMar>
            <w:top w:w="0" w:type="dxa"/>
            <w:left w:w="0" w:type="dxa"/>
            <w:bottom w:w="0" w:type="dxa"/>
            <w:right w:w="0" w:type="dxa"/>
          </w:tblCellMar>
        </w:tblPrEx>
        <w:trPr>
          <w:trHeight w:val="57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澳门国际银行股份有限公司广州分行</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广州市天河区珠江新城华夏路8号合景国际金融广场1层104房、34层3401房、35层3501房</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020-28089999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杭银理财有限责任公司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浙江省杭州市拱墅区庆春路38号金龙财富中心</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400-8950-999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中邮邮惠万家银行有限责任公司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上海市虹口区东大名路1080号25层、26层</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40011-88888</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四川天府银行股份有限公司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四川省南充市顺庆区滨江中路一段97号26栋</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400-16-96869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江苏常熟农村商业银行股份有限公司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江苏省常熟市新世纪大道58号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956020</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威海蓝海银行股份有限公司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山东省威海市环翠区新威路17-2号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400-0631-888</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温州银行股份有限公司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浙江省温州市鹿城区会展路1316号</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top"/>
          </w:tcPr>
          <w:p>
            <w:pP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0577-96699</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cs="宋体"/>
                <w:bCs/>
                <w:sz w:val="21"/>
                <w:szCs w:val="21"/>
                <w:highlight w:val="none"/>
                <w:lang w:val="en-US" w:eastAsia="zh-CN"/>
              </w:rPr>
              <w:t>浙江网商银行</w:t>
            </w:r>
            <w:r>
              <w:rPr>
                <w:rFonts w:hint="eastAsia" w:ascii="宋体" w:hAnsi="宋体" w:cs="宋体"/>
                <w:bCs/>
                <w:sz w:val="21"/>
                <w:szCs w:val="21"/>
                <w:highlight w:val="none"/>
              </w:rPr>
              <w:t>股份有限公司</w:t>
            </w: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cs="宋体"/>
                <w:bCs/>
                <w:sz w:val="21"/>
                <w:szCs w:val="21"/>
                <w:highlight w:val="none"/>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cs="宋体"/>
                <w:bCs/>
                <w:sz w:val="21"/>
                <w:szCs w:val="21"/>
                <w:highlight w:val="none"/>
              </w:rPr>
              <w:t>杭州市</w:t>
            </w:r>
            <w:r>
              <w:rPr>
                <w:rFonts w:hint="eastAsia" w:ascii="宋体" w:hAnsi="宋体" w:cs="宋体"/>
                <w:bCs/>
                <w:sz w:val="21"/>
                <w:szCs w:val="21"/>
                <w:highlight w:val="none"/>
                <w:lang w:val="en-US" w:eastAsia="zh-CN"/>
              </w:rPr>
              <w:t>西湖区西溪路556号阿里中心</w:t>
            </w:r>
          </w:p>
        </w:tc>
      </w:tr>
      <w:tr>
        <w:tblPrEx>
          <w:tblLayout w:type="fixed"/>
          <w:tblCellMar>
            <w:top w:w="0" w:type="dxa"/>
            <w:left w:w="0" w:type="dxa"/>
            <w:bottom w:w="0" w:type="dxa"/>
            <w:right w:w="0" w:type="dxa"/>
          </w:tblCellMar>
        </w:tblPrEx>
        <w:trPr>
          <w:trHeight w:val="300" w:hRule="atLeast"/>
        </w:trPr>
        <w:tc>
          <w:tcPr>
            <w:tcW w:w="1071"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1"/>
                <w:szCs w:val="21"/>
              </w:rPr>
            </w:pPr>
          </w:p>
        </w:tc>
        <w:tc>
          <w:tcPr>
            <w:tcW w:w="217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sz w:val="21"/>
                <w:szCs w:val="21"/>
              </w:rPr>
            </w:pPr>
          </w:p>
        </w:tc>
        <w:tc>
          <w:tcPr>
            <w:tcW w:w="117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cs="宋体"/>
                <w:bCs/>
                <w:sz w:val="21"/>
                <w:szCs w:val="21"/>
                <w:highlight w:val="none"/>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spacing w:line="360" w:lineRule="auto"/>
              <w:jc w:val="center"/>
              <w:rPr>
                <w:rFonts w:hint="eastAsia" w:ascii="宋体" w:hAnsi="宋体" w:eastAsia="宋体" w:cs="宋体"/>
                <w:sz w:val="21"/>
                <w:szCs w:val="21"/>
              </w:rPr>
            </w:pPr>
            <w:r>
              <w:rPr>
                <w:rFonts w:hint="eastAsia" w:ascii="宋体" w:hAnsi="宋体" w:cs="宋体"/>
                <w:bCs/>
                <w:sz w:val="21"/>
                <w:szCs w:val="21"/>
                <w:highlight w:val="none"/>
              </w:rPr>
              <w:t>95</w:t>
            </w:r>
            <w:r>
              <w:rPr>
                <w:rFonts w:hint="eastAsia" w:ascii="宋体" w:hAnsi="宋体" w:cs="宋体"/>
                <w:bCs/>
                <w:sz w:val="21"/>
                <w:szCs w:val="21"/>
                <w:highlight w:val="none"/>
                <w:lang w:val="en-US" w:eastAsia="zh-CN"/>
              </w:rPr>
              <w:t>18</w:t>
            </w:r>
            <w:r>
              <w:rPr>
                <w:rFonts w:hint="eastAsia" w:ascii="宋体" w:hAnsi="宋体" w:cs="宋体"/>
                <w:bCs/>
                <w:sz w:val="21"/>
                <w:szCs w:val="21"/>
                <w:highlight w:val="none"/>
              </w:rPr>
              <w:t>8</w:t>
            </w:r>
            <w:r>
              <w:rPr>
                <w:rFonts w:hint="eastAsia" w:ascii="宋体" w:hAnsi="宋体" w:cs="宋体"/>
                <w:bCs/>
                <w:sz w:val="21"/>
                <w:szCs w:val="21"/>
                <w:highlight w:val="none"/>
                <w:lang w:val="en-US" w:eastAsia="zh-CN"/>
              </w:rPr>
              <w:t>-3</w:t>
            </w:r>
          </w:p>
        </w:tc>
      </w:tr>
      <w:tr>
        <w:tblPrEx>
          <w:tblLayout w:type="fixed"/>
          <w:tblCellMar>
            <w:top w:w="0" w:type="dxa"/>
            <w:left w:w="0" w:type="dxa"/>
            <w:bottom w:w="0" w:type="dxa"/>
            <w:right w:w="0" w:type="dxa"/>
          </w:tblCellMar>
        </w:tblPrEx>
        <w:trPr>
          <w:trHeight w:val="1320" w:hRule="atLeast"/>
        </w:trPr>
        <w:tc>
          <w:tcPr>
            <w:tcW w:w="10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销售机构职责</w:t>
            </w:r>
          </w:p>
        </w:tc>
        <w:tc>
          <w:tcPr>
            <w:tcW w:w="7194" w:type="dxa"/>
            <w:gridSpan w:val="3"/>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widowControl/>
              <w:spacing w:line="36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rPr>
        <w:t>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17"/>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股权类资产</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未上市股票的估值：</w:t>
      </w:r>
    </w:p>
    <w:p>
      <w:pPr>
        <w:spacing w:line="360" w:lineRule="auto"/>
        <w:ind w:firstLine="480" w:firstLineChars="200"/>
        <w:rPr>
          <w:rFonts w:hint="eastAsia" w:ascii="宋体" w:hAnsi="宋体"/>
        </w:rPr>
      </w:pPr>
      <w:r>
        <w:rPr>
          <w:rFonts w:hint="eastAsia" w:ascii="宋体" w:hAnsi="宋体" w:cs="宋体"/>
          <w:bCs/>
          <w:color w:val="000000"/>
        </w:rPr>
        <w:t>1）</w:t>
      </w:r>
      <w:r>
        <w:rPr>
          <w:rFonts w:hint="eastAsia" w:ascii="宋体" w:hAnsi="宋体"/>
        </w:rPr>
        <w:t>送股、转增股、配股和公开增发新股等发行未上市的股票，按估值日在证券交易所挂牌的同一股票的市价估值；</w:t>
      </w:r>
    </w:p>
    <w:p>
      <w:pPr>
        <w:spacing w:line="360" w:lineRule="auto"/>
        <w:ind w:firstLine="480" w:firstLineChars="200"/>
        <w:rPr>
          <w:rFonts w:hint="eastAsia" w:ascii="宋体" w:hAnsi="宋体"/>
        </w:rPr>
      </w:pPr>
      <w:r>
        <w:rPr>
          <w:rFonts w:hint="eastAsia" w:ascii="宋体" w:hAnsi="宋体"/>
        </w:rPr>
        <w:t>2）首次公开发行有明确锁定期的股票，同一股票在交易所上市后，按交易所上市的同一股票的市价估值；</w:t>
      </w:r>
    </w:p>
    <w:p>
      <w:pPr>
        <w:spacing w:line="360" w:lineRule="auto"/>
        <w:ind w:firstLine="480" w:firstLineChars="200"/>
        <w:rPr>
          <w:rFonts w:hint="eastAsia" w:ascii="宋体" w:hAnsi="宋体"/>
        </w:rPr>
      </w:pPr>
      <w:r>
        <w:rPr>
          <w:rFonts w:hint="eastAsia" w:ascii="宋体" w:hAnsi="宋体"/>
        </w:rPr>
        <w:t>3）首次发行未上市的股票，按发行价格进行估值；</w:t>
      </w:r>
    </w:p>
    <w:p>
      <w:pPr>
        <w:spacing w:line="360" w:lineRule="auto"/>
        <w:ind w:firstLine="480" w:firstLineChars="200"/>
        <w:rPr>
          <w:rFonts w:hint="eastAsia" w:ascii="宋体" w:hAnsi="宋体"/>
        </w:rPr>
      </w:pPr>
      <w:r>
        <w:rPr>
          <w:rFonts w:hint="eastAsia" w:ascii="宋体" w:hAnsi="宋体"/>
        </w:rPr>
        <w:t>4）因持有股票而享有的配股权，采用估值技术确定公允价值。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非上市股权的估值：</w:t>
      </w:r>
    </w:p>
    <w:p>
      <w:pPr>
        <w:spacing w:line="360" w:lineRule="auto"/>
        <w:ind w:firstLine="480" w:firstLineChars="200"/>
        <w:rPr>
          <w:rFonts w:hint="eastAsia" w:ascii="宋体" w:hAnsi="宋体" w:cs="宋体"/>
          <w:bCs/>
          <w:color w:val="000000"/>
        </w:rPr>
      </w:pPr>
      <w:r>
        <w:rPr>
          <w:rFonts w:hint="eastAsia" w:ascii="宋体" w:hAnsi="宋体" w:cs="宋体"/>
          <w:bCs/>
          <w:color w:val="000000"/>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17"/>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7"/>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的年化销售服务费率为</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理财计划财产的年化托管费为</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的年化固定管理费率为</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8"/>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本理财计划免除浮动管理费。</w:t>
      </w:r>
    </w:p>
    <w:p>
      <w:pPr>
        <w:numPr>
          <w:ilvl w:val="0"/>
          <w:numId w:val="39"/>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2"/>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投资者理财收益＝赎回份额×赎回确认日（提前终止日）前一日单位净值-认购或申购金额+</w:t>
      </w:r>
      <w:r>
        <w:rPr>
          <w:rFonts w:hint="eastAsia" w:ascii="宋体" w:hAnsi="宋体" w:cs="宋体"/>
          <w:bCs/>
        </w:rPr>
        <w:t>份额持有期间累计分红（如有）</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份额=认购或申购金额/认购或申购确认日前一日单位净值。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赎回确认日（提前终止日）前一日的单位净值为提取相关费用及税费后的单位理财计划份额净值。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rPr>
      </w:pPr>
      <w:r>
        <w:rPr>
          <w:rFonts w:hint="eastAsia" w:ascii="宋体" w:hAnsi="宋体" w:cs="宋体"/>
          <w:b/>
        </w:rPr>
        <w:t>示例说明</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2" w:firstLineChars="200"/>
        <w:jc w:val="left"/>
        <w:rPr>
          <w:rFonts w:hint="eastAsia" w:ascii="宋体" w:hAnsi="宋体" w:cs="宋体"/>
          <w:bCs/>
          <w:color w:val="000000"/>
        </w:rPr>
      </w:pPr>
      <w:r>
        <w:rPr>
          <w:rFonts w:hint="eastAsia" w:ascii="宋体" w:hAnsi="宋体" w:cs="宋体"/>
          <w:b/>
          <w:color w:val="000000"/>
        </w:rPr>
        <w:t>扣除托管费、固定管理费、销售服务费（如有）后，投资产生盈利。</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，期间无分红。赎回时假设管理人扣除托管费、固定管理费、销售服务费（如有）后，如理财计划净值为1.0615，此时，(1.0615/1.00-1)×365/362=6.20%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投资者最终收益为：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100,000.00×（1.0615-1.00）=6,150.00（元），理财计划到期时，投资者获得的实际收益相当于达到年化收益率水平为：6,150.00/100,000.00×365/362=6.20%。</w:t>
      </w:r>
    </w:p>
    <w:p>
      <w:pPr>
        <w:numPr>
          <w:ilvl w:val="0"/>
          <w:numId w:val="44"/>
        </w:numPr>
        <w:spacing w:line="360" w:lineRule="auto"/>
        <w:ind w:firstLine="482" w:firstLineChars="200"/>
        <w:jc w:val="left"/>
        <w:rPr>
          <w:rFonts w:ascii="宋体" w:hAnsi="宋体" w:cs="宋体"/>
          <w:b/>
        </w:rPr>
      </w:pPr>
      <w:r>
        <w:rPr>
          <w:rFonts w:hint="eastAsia" w:ascii="宋体" w:hAnsi="宋体" w:cs="宋体"/>
          <w:b/>
        </w:rPr>
        <w:t>示例二</w:t>
      </w:r>
    </w:p>
    <w:p>
      <w:pPr>
        <w:spacing w:line="360" w:lineRule="auto"/>
        <w:ind w:firstLine="482" w:firstLineChars="200"/>
        <w:jc w:val="left"/>
        <w:rPr>
          <w:rFonts w:hint="eastAsia" w:ascii="宋体" w:hAnsi="宋体" w:cs="宋体"/>
          <w:b/>
          <w:color w:val="000000"/>
        </w:rPr>
      </w:pPr>
      <w:r>
        <w:rPr>
          <w:rFonts w:hint="eastAsia" w:ascii="宋体" w:hAnsi="宋体" w:cs="宋体"/>
          <w:b/>
          <w:color w:val="000000"/>
        </w:rPr>
        <w:t>扣除托管费、固定管理费、销售服务费（如有）后，投资发生亏损。</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，期间无分红。赎回时假设管理人扣除托管费、固定管理费、销售服务费（如有）后，如理财计划净值为0.9975，投资者最终收益为：100,000.00×（0.9975-1.00）=-250.00（元）。</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赎回或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具体以销售机构要求为准）。</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7"/>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本理财计划在每个开放期的开放日工作时间可进行申购和赎回，申购和赎回申请将在确认日进行确认，即开放期后的第〖1〗个工作日进行确认。</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工作时间为每个工作日上午〖9:00〗至下午〖17:00〗。</w:t>
      </w:r>
      <w:r>
        <w:rPr>
          <w:rFonts w:hint="eastAsia" w:ascii="宋体" w:hAnsi="宋体" w:cs="宋体"/>
          <w:color w:val="000000"/>
          <w:kern w:val="0"/>
        </w:rPr>
        <w:t>（具体以销售机构规定为准）</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如</w:t>
      </w:r>
      <w:r>
        <w:rPr>
          <w:rFonts w:hint="eastAsia" w:ascii="宋体" w:hAnsi="宋体" w:cs="宋体"/>
          <w:bCs/>
          <w:color w:val="000000"/>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赎回资金确认后，最快〖1〗个工作日，最晚〖3〗个工作日内（遇节假日顺延）理财资金与收益将一次性支付。如遇资金在途或法定工作日调整，实际资金到账日以公告为准。</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50"/>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理财计划存续期内，若理财计划开放日净赎回申请份额超过上一日日终理财计划总份额〖10%〗时，即构成巨额赎回。</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w:t>
      </w:r>
      <w:r>
        <w:rPr>
          <w:rFonts w:hint="eastAsia" w:ascii="宋体" w:hAnsi="宋体" w:cs="宋体"/>
        </w:rPr>
        <w:t>〖1</w:t>
      </w:r>
      <w:r>
        <w:rPr>
          <w:rFonts w:hint="eastAsia" w:ascii="宋体" w:hAnsi="宋体" w:cs="宋体"/>
          <w:bCs/>
          <w:color w:val="000000"/>
        </w:rPr>
        <w:t>〗</w:t>
      </w:r>
      <w:r>
        <w:rPr>
          <w:rFonts w:hint="eastAsia" w:ascii="宋体" w:hAnsi="宋体" w:cs="宋体"/>
          <w:bCs/>
        </w:rPr>
        <w:t>个工作日通过管理人或销售机构发布提前终止公告，并于终止日后</w:t>
      </w:r>
      <w:r>
        <w:rPr>
          <w:rFonts w:hint="eastAsia" w:ascii="宋体" w:hAnsi="宋体" w:cs="宋体"/>
        </w:rPr>
        <w:t>〖</w:t>
      </w:r>
      <w:r>
        <w:rPr>
          <w:rFonts w:hint="eastAsia" w:ascii="宋体" w:hAnsi="宋体" w:cs="宋体"/>
          <w:szCs w:val="21"/>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4"/>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5"/>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8"/>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理财计划净值：管理人应在理财计划成立后，每个开放确认日后2个工作日内披露本理财计划净值。</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60"/>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60"/>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rPr>
          <w:rFonts w:hint="eastAsia" w:ascii="宋体" w:hAnsi="宋体" w:cs="宋体"/>
          <w:kern w:val="0"/>
        </w:rPr>
        <w:fldChar w:fldCharType="begin"/>
      </w:r>
      <w:r>
        <w:rPr>
          <w:rFonts w:hint="eastAsia" w:ascii="宋体" w:hAnsi="宋体" w:cs="宋体"/>
          <w:kern w:val="0"/>
        </w:rPr>
        <w:instrText xml:space="preserve"> HYPERLINK "http://www.hzbankwealth.cn" </w:instrText>
      </w:r>
      <w:r>
        <w:rPr>
          <w:rFonts w:hint="eastAsia" w:ascii="宋体" w:hAnsi="宋体" w:cs="宋体"/>
          <w:kern w:val="0"/>
        </w:rPr>
        <w:fldChar w:fldCharType="separate"/>
      </w:r>
      <w:r>
        <w:rPr>
          <w:rStyle w:val="14"/>
          <w:rFonts w:hint="eastAsia" w:ascii="宋体" w:hAnsi="宋体" w:cs="宋体"/>
          <w:color w:val="auto"/>
          <w:kern w:val="0"/>
          <w:u w:val="none"/>
        </w:rPr>
        <w:t>www.hzbank.com.cn</w:t>
      </w:r>
      <w:r>
        <w:rPr>
          <w:rFonts w:hint="eastAsia" w:ascii="宋体" w:hAnsi="宋体" w:cs="宋体"/>
          <w:kern w:val="0"/>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1"/>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1"/>
        </w:numPr>
        <w:spacing w:line="360" w:lineRule="auto"/>
        <w:ind w:firstLine="482" w:firstLineChars="200"/>
        <w:outlineLvl w:val="1"/>
        <w:rPr>
          <w:rFonts w:hint="eastAsia"/>
          <w:b/>
        </w:rPr>
      </w:pPr>
      <w:r>
        <w:rPr>
          <w:rFonts w:hint="eastAsia"/>
          <w:b/>
        </w:rPr>
        <w:t>投资者权利与义务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管理人权利与义务</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1"/>
        </w:numPr>
        <w:spacing w:line="360" w:lineRule="auto"/>
        <w:ind w:firstLine="482" w:firstLineChars="200"/>
        <w:outlineLvl w:val="1"/>
        <w:rPr>
          <w:rFonts w:hint="eastAsia"/>
          <w:b/>
        </w:rPr>
      </w:pPr>
      <w:r>
        <w:rPr>
          <w:rFonts w:hint="eastAsia"/>
          <w:b/>
        </w:rPr>
        <w:t>理财计划认（申）购、赎回及终止</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在理财计划销售文件中授权的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1"/>
        </w:numPr>
        <w:spacing w:line="360" w:lineRule="auto"/>
        <w:ind w:firstLine="482" w:firstLineChars="200"/>
        <w:outlineLvl w:val="1"/>
        <w:rPr>
          <w:rFonts w:hint="eastAsia"/>
          <w:b/>
        </w:rPr>
      </w:pPr>
      <w:r>
        <w:rPr>
          <w:rFonts w:hint="eastAsia"/>
          <w:b/>
        </w:rPr>
        <w:t>违约责任及免责条款</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1"/>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协议生效和终止</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1"/>
        </w:numPr>
        <w:spacing w:line="360" w:lineRule="auto"/>
        <w:ind w:firstLine="482" w:firstLineChars="200"/>
        <w:outlineLvl w:val="1"/>
        <w:rPr>
          <w:b/>
        </w:rPr>
      </w:pPr>
      <w:r>
        <w:rPr>
          <w:rFonts w:hint="eastAsia"/>
          <w:b/>
        </w:rPr>
        <w:t>附则</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outlineLvl w:val="9"/>
        <w:rPr>
          <w:rFonts w:ascii="宋体" w:hAnsi="宋体" w:cs="宋体"/>
          <w:bCs/>
          <w:color w:val="000000"/>
        </w:rPr>
      </w:pPr>
      <w:bookmarkStart w:id="0" w:name="_GoBack"/>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jc w:val="center"/>
        <w:outlineLvl w:val="9"/>
        <w:rPr>
          <w:rFonts w:hint="eastAsia"/>
          <w:b/>
          <w:sz w:val="44"/>
          <w:szCs w:val="44"/>
        </w:rPr>
      </w:pPr>
    </w:p>
    <w:p>
      <w:pPr>
        <w:jc w:val="center"/>
        <w:outlineLvl w:val="9"/>
        <w:rPr>
          <w:rFonts w:hint="eastAsia"/>
          <w:b/>
          <w:sz w:val="44"/>
          <w:szCs w:val="44"/>
        </w:rPr>
      </w:pPr>
    </w:p>
    <w:bookmarkEnd w:id="0"/>
    <w:p>
      <w:pPr>
        <w:jc w:val="center"/>
        <w:outlineLvl w:val="0"/>
        <w:rPr>
          <w:rFonts w:hint="eastAsia"/>
          <w:b/>
          <w:sz w:val="44"/>
          <w:szCs w:val="44"/>
        </w:rPr>
      </w:pPr>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9"/>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ascii="宋体" w:hAnsi="宋体"/>
        </w:rPr>
      </w:pPr>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投资需谨慎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2A7986"/>
    <w:rsid w:val="004A3A51"/>
    <w:rsid w:val="004F1AB2"/>
    <w:rsid w:val="007C012C"/>
    <w:rsid w:val="008C59F7"/>
    <w:rsid w:val="00B234C2"/>
    <w:rsid w:val="00C2766C"/>
    <w:rsid w:val="00C61102"/>
    <w:rsid w:val="00D5498D"/>
    <w:rsid w:val="00F81186"/>
    <w:rsid w:val="01364432"/>
    <w:rsid w:val="01523B8E"/>
    <w:rsid w:val="01E60817"/>
    <w:rsid w:val="01FD241C"/>
    <w:rsid w:val="02FB5178"/>
    <w:rsid w:val="031A641B"/>
    <w:rsid w:val="046C4318"/>
    <w:rsid w:val="05E05E4D"/>
    <w:rsid w:val="06420CFA"/>
    <w:rsid w:val="06503B59"/>
    <w:rsid w:val="06F301FD"/>
    <w:rsid w:val="0752555A"/>
    <w:rsid w:val="07E45984"/>
    <w:rsid w:val="0828699A"/>
    <w:rsid w:val="087D4021"/>
    <w:rsid w:val="09155E8F"/>
    <w:rsid w:val="097E3F67"/>
    <w:rsid w:val="099F5B56"/>
    <w:rsid w:val="09A37E25"/>
    <w:rsid w:val="0A0C6349"/>
    <w:rsid w:val="0A1347F5"/>
    <w:rsid w:val="0A1F3796"/>
    <w:rsid w:val="0A2A32B9"/>
    <w:rsid w:val="0B8E27E3"/>
    <w:rsid w:val="0BF71AE2"/>
    <w:rsid w:val="0C9C7394"/>
    <w:rsid w:val="0CA6603D"/>
    <w:rsid w:val="0D0B1B00"/>
    <w:rsid w:val="0D3F210A"/>
    <w:rsid w:val="0DEF72FB"/>
    <w:rsid w:val="0E36795A"/>
    <w:rsid w:val="0E4A4B6F"/>
    <w:rsid w:val="0E9465E2"/>
    <w:rsid w:val="0EAE473F"/>
    <w:rsid w:val="0EF65480"/>
    <w:rsid w:val="0F3349D0"/>
    <w:rsid w:val="0FE6637F"/>
    <w:rsid w:val="10776FA2"/>
    <w:rsid w:val="10E7087B"/>
    <w:rsid w:val="10FA5463"/>
    <w:rsid w:val="11BA058F"/>
    <w:rsid w:val="12081858"/>
    <w:rsid w:val="12B62B3B"/>
    <w:rsid w:val="12F57C75"/>
    <w:rsid w:val="12F96486"/>
    <w:rsid w:val="13031153"/>
    <w:rsid w:val="13181417"/>
    <w:rsid w:val="135A629F"/>
    <w:rsid w:val="13CF7B8E"/>
    <w:rsid w:val="14B80FF2"/>
    <w:rsid w:val="14C57FED"/>
    <w:rsid w:val="150C5665"/>
    <w:rsid w:val="15C56302"/>
    <w:rsid w:val="160940BB"/>
    <w:rsid w:val="161F6E18"/>
    <w:rsid w:val="1659752C"/>
    <w:rsid w:val="16BC19D9"/>
    <w:rsid w:val="16E43A7F"/>
    <w:rsid w:val="173B243E"/>
    <w:rsid w:val="175F7C56"/>
    <w:rsid w:val="185A3DA1"/>
    <w:rsid w:val="186223C0"/>
    <w:rsid w:val="1954515B"/>
    <w:rsid w:val="198C4B50"/>
    <w:rsid w:val="19DA4F78"/>
    <w:rsid w:val="19F13F4F"/>
    <w:rsid w:val="1A102675"/>
    <w:rsid w:val="1B280245"/>
    <w:rsid w:val="1B581220"/>
    <w:rsid w:val="1B843575"/>
    <w:rsid w:val="1BBE4697"/>
    <w:rsid w:val="1D4D5B7F"/>
    <w:rsid w:val="1D552DD9"/>
    <w:rsid w:val="1DAB6D83"/>
    <w:rsid w:val="1DF22ABC"/>
    <w:rsid w:val="1E3173A3"/>
    <w:rsid w:val="1E792E51"/>
    <w:rsid w:val="1F0F5A19"/>
    <w:rsid w:val="1F1D6E1F"/>
    <w:rsid w:val="1F3E7F7D"/>
    <w:rsid w:val="1F51312D"/>
    <w:rsid w:val="1FC9553A"/>
    <w:rsid w:val="204D3B12"/>
    <w:rsid w:val="205A2AB3"/>
    <w:rsid w:val="20B6224D"/>
    <w:rsid w:val="21025026"/>
    <w:rsid w:val="21036497"/>
    <w:rsid w:val="21C9316A"/>
    <w:rsid w:val="22A04AF7"/>
    <w:rsid w:val="22A73C8E"/>
    <w:rsid w:val="22D3594B"/>
    <w:rsid w:val="22F12819"/>
    <w:rsid w:val="234F46D7"/>
    <w:rsid w:val="235600AA"/>
    <w:rsid w:val="23753F06"/>
    <w:rsid w:val="238E1AAE"/>
    <w:rsid w:val="24030B6D"/>
    <w:rsid w:val="24345B9A"/>
    <w:rsid w:val="245517BD"/>
    <w:rsid w:val="2483647E"/>
    <w:rsid w:val="256F076F"/>
    <w:rsid w:val="25AF7681"/>
    <w:rsid w:val="26820AF7"/>
    <w:rsid w:val="27947E62"/>
    <w:rsid w:val="27EB2573"/>
    <w:rsid w:val="27F57B7A"/>
    <w:rsid w:val="285922A7"/>
    <w:rsid w:val="28612B5D"/>
    <w:rsid w:val="292668E3"/>
    <w:rsid w:val="29361BBD"/>
    <w:rsid w:val="2A124404"/>
    <w:rsid w:val="2A1B5D68"/>
    <w:rsid w:val="2A2D7B42"/>
    <w:rsid w:val="2A5975B6"/>
    <w:rsid w:val="2A991D32"/>
    <w:rsid w:val="2AB92324"/>
    <w:rsid w:val="2AD6555A"/>
    <w:rsid w:val="2B376BE0"/>
    <w:rsid w:val="2C1B1E9D"/>
    <w:rsid w:val="2CAB68C5"/>
    <w:rsid w:val="2DBB33DD"/>
    <w:rsid w:val="2E354AE5"/>
    <w:rsid w:val="2EBC6D03"/>
    <w:rsid w:val="2F196945"/>
    <w:rsid w:val="2F1F666C"/>
    <w:rsid w:val="2F746AB8"/>
    <w:rsid w:val="2FD32A37"/>
    <w:rsid w:val="30045A54"/>
    <w:rsid w:val="30551FFC"/>
    <w:rsid w:val="311F702A"/>
    <w:rsid w:val="31244CFA"/>
    <w:rsid w:val="31A82883"/>
    <w:rsid w:val="320E3E15"/>
    <w:rsid w:val="329D0CFB"/>
    <w:rsid w:val="32B15B31"/>
    <w:rsid w:val="32C937E9"/>
    <w:rsid w:val="333F6AA7"/>
    <w:rsid w:val="3480359E"/>
    <w:rsid w:val="34BE4ED5"/>
    <w:rsid w:val="35476F5E"/>
    <w:rsid w:val="354D3F58"/>
    <w:rsid w:val="359A216E"/>
    <w:rsid w:val="36631FD8"/>
    <w:rsid w:val="36C419F2"/>
    <w:rsid w:val="36E72D9B"/>
    <w:rsid w:val="36FD7080"/>
    <w:rsid w:val="36FE1E1C"/>
    <w:rsid w:val="379F2ED6"/>
    <w:rsid w:val="37CA172C"/>
    <w:rsid w:val="37DC2068"/>
    <w:rsid w:val="38071350"/>
    <w:rsid w:val="38224FD0"/>
    <w:rsid w:val="39775E90"/>
    <w:rsid w:val="39965EB7"/>
    <w:rsid w:val="39AC0F1B"/>
    <w:rsid w:val="3A3E2041"/>
    <w:rsid w:val="3AA660BF"/>
    <w:rsid w:val="3B131EF6"/>
    <w:rsid w:val="3B490D86"/>
    <w:rsid w:val="3BD74075"/>
    <w:rsid w:val="3C2F2290"/>
    <w:rsid w:val="3DBB1114"/>
    <w:rsid w:val="3EA67C14"/>
    <w:rsid w:val="3EAD1B36"/>
    <w:rsid w:val="3EDB4D6E"/>
    <w:rsid w:val="3F056B9E"/>
    <w:rsid w:val="3F354A62"/>
    <w:rsid w:val="3F63246A"/>
    <w:rsid w:val="3FB01289"/>
    <w:rsid w:val="3FE233B8"/>
    <w:rsid w:val="3FF54C55"/>
    <w:rsid w:val="40181F9C"/>
    <w:rsid w:val="406370BC"/>
    <w:rsid w:val="40FB7670"/>
    <w:rsid w:val="41B60000"/>
    <w:rsid w:val="420010CC"/>
    <w:rsid w:val="423C06E2"/>
    <w:rsid w:val="42815397"/>
    <w:rsid w:val="42C94634"/>
    <w:rsid w:val="437B57F9"/>
    <w:rsid w:val="453D5681"/>
    <w:rsid w:val="45540446"/>
    <w:rsid w:val="458F3937"/>
    <w:rsid w:val="459F641E"/>
    <w:rsid w:val="45A93DC9"/>
    <w:rsid w:val="45BB5620"/>
    <w:rsid w:val="45F127ED"/>
    <w:rsid w:val="46263D02"/>
    <w:rsid w:val="46CD66A0"/>
    <w:rsid w:val="472803B7"/>
    <w:rsid w:val="478411E4"/>
    <w:rsid w:val="47F832A9"/>
    <w:rsid w:val="488B59A4"/>
    <w:rsid w:val="48CC5267"/>
    <w:rsid w:val="494502E1"/>
    <w:rsid w:val="4A010AC9"/>
    <w:rsid w:val="4A7F0ADF"/>
    <w:rsid w:val="4AA612F0"/>
    <w:rsid w:val="4B0D3113"/>
    <w:rsid w:val="4C6B0DDA"/>
    <w:rsid w:val="4C6E1306"/>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4520532"/>
    <w:rsid w:val="54E91D9C"/>
    <w:rsid w:val="55A47BB4"/>
    <w:rsid w:val="56B44788"/>
    <w:rsid w:val="571D52DC"/>
    <w:rsid w:val="57BB6218"/>
    <w:rsid w:val="57FF3AAA"/>
    <w:rsid w:val="583036AF"/>
    <w:rsid w:val="58DD2EEE"/>
    <w:rsid w:val="58E96C7A"/>
    <w:rsid w:val="59263C31"/>
    <w:rsid w:val="59856C69"/>
    <w:rsid w:val="59AD3C67"/>
    <w:rsid w:val="5A4B183F"/>
    <w:rsid w:val="5B0D630F"/>
    <w:rsid w:val="5B602150"/>
    <w:rsid w:val="5B9919B4"/>
    <w:rsid w:val="5BB70148"/>
    <w:rsid w:val="5C3C3DDC"/>
    <w:rsid w:val="5D160516"/>
    <w:rsid w:val="5D713BC5"/>
    <w:rsid w:val="5D7D0F36"/>
    <w:rsid w:val="5DB61BFF"/>
    <w:rsid w:val="5DEF454B"/>
    <w:rsid w:val="5E5A6C63"/>
    <w:rsid w:val="5F3C6712"/>
    <w:rsid w:val="5F4B58F3"/>
    <w:rsid w:val="6053481F"/>
    <w:rsid w:val="60553A8D"/>
    <w:rsid w:val="606E0DED"/>
    <w:rsid w:val="60AB2000"/>
    <w:rsid w:val="61A27A8B"/>
    <w:rsid w:val="61C97391"/>
    <w:rsid w:val="61D85325"/>
    <w:rsid w:val="62860AAA"/>
    <w:rsid w:val="628B7CEE"/>
    <w:rsid w:val="629D5796"/>
    <w:rsid w:val="63FA4C5C"/>
    <w:rsid w:val="64102A52"/>
    <w:rsid w:val="64BC6713"/>
    <w:rsid w:val="64E9088D"/>
    <w:rsid w:val="66F54088"/>
    <w:rsid w:val="671E2162"/>
    <w:rsid w:val="67C2281F"/>
    <w:rsid w:val="680C1A56"/>
    <w:rsid w:val="68D8721E"/>
    <w:rsid w:val="68E50F6E"/>
    <w:rsid w:val="6A1A3D91"/>
    <w:rsid w:val="6B610D05"/>
    <w:rsid w:val="6BAC21D5"/>
    <w:rsid w:val="6BC50A56"/>
    <w:rsid w:val="6CED1CB3"/>
    <w:rsid w:val="6D3B42C3"/>
    <w:rsid w:val="6D5A3D63"/>
    <w:rsid w:val="6D9A4080"/>
    <w:rsid w:val="6DF037EE"/>
    <w:rsid w:val="6E11772C"/>
    <w:rsid w:val="6E7E575F"/>
    <w:rsid w:val="6EF15941"/>
    <w:rsid w:val="6F546795"/>
    <w:rsid w:val="6F926461"/>
    <w:rsid w:val="6F9921A1"/>
    <w:rsid w:val="720B7A64"/>
    <w:rsid w:val="720F6016"/>
    <w:rsid w:val="727D0EB8"/>
    <w:rsid w:val="73407EBD"/>
    <w:rsid w:val="73932176"/>
    <w:rsid w:val="73BC153D"/>
    <w:rsid w:val="73EF4563"/>
    <w:rsid w:val="74175679"/>
    <w:rsid w:val="744124AA"/>
    <w:rsid w:val="74664F47"/>
    <w:rsid w:val="756E538F"/>
    <w:rsid w:val="758100F6"/>
    <w:rsid w:val="76F41323"/>
    <w:rsid w:val="778222EA"/>
    <w:rsid w:val="77A30DC4"/>
    <w:rsid w:val="77E0572E"/>
    <w:rsid w:val="77ED4104"/>
    <w:rsid w:val="78EF4372"/>
    <w:rsid w:val="79771B00"/>
    <w:rsid w:val="7980282D"/>
    <w:rsid w:val="798F6426"/>
    <w:rsid w:val="79B94653"/>
    <w:rsid w:val="7ACA272A"/>
    <w:rsid w:val="7B0E7C70"/>
    <w:rsid w:val="7B2E004A"/>
    <w:rsid w:val="7B76641B"/>
    <w:rsid w:val="7BBF1397"/>
    <w:rsid w:val="7E6F339A"/>
    <w:rsid w:val="7E7A7C50"/>
    <w:rsid w:val="7E810662"/>
    <w:rsid w:val="7ED67E61"/>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4"/>
      <w:szCs w:val="24"/>
      <w:lang w:val="en-US" w:eastAsia="zh-CN" w:bidi="ar-SA"/>
    </w:rPr>
  </w:style>
  <w:style w:type="paragraph" w:styleId="2">
    <w:name w:val="heading 1"/>
    <w:basedOn w:val="1"/>
    <w:next w:val="1"/>
    <w:link w:val="24"/>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2"/>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19"/>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1"/>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List Paragraph"/>
    <w:basedOn w:val="1"/>
    <w:unhideWhenUsed/>
    <w:uiPriority w:val="99"/>
    <w:pPr>
      <w:ind w:firstLine="420" w:firstLineChars="200"/>
    </w:pPr>
  </w:style>
  <w:style w:type="paragraph" w:customStyle="1" w:styleId="17">
    <w:name w:val="Default"/>
    <w:qFormat/>
    <w:uiPriority w:val="0"/>
    <w:pPr>
      <w:widowControl w:val="0"/>
      <w:autoSpaceDE w:val="0"/>
      <w:autoSpaceDN w:val="0"/>
      <w:adjustRightInd w:val="0"/>
    </w:pPr>
    <w:rPr>
      <w:color w:val="000000"/>
      <w:sz w:val="24"/>
      <w:szCs w:val="24"/>
      <w:lang w:val="en-US" w:eastAsia="zh-CN" w:bidi="ar-SA"/>
    </w:rPr>
  </w:style>
  <w:style w:type="paragraph" w:customStyle="1" w:styleId="18">
    <w:name w:val="样式1"/>
    <w:basedOn w:val="1"/>
    <w:next w:val="1"/>
    <w:uiPriority w:val="0"/>
    <w:pPr>
      <w:keepNext/>
      <w:keepLines/>
      <w:spacing w:before="340" w:beforeLines="0" w:after="330" w:afterLines="0" w:line="576" w:lineRule="auto"/>
      <w:outlineLvl w:val="0"/>
    </w:pPr>
    <w:rPr>
      <w:rFonts w:hint="eastAsia"/>
      <w:b/>
      <w:kern w:val="44"/>
      <w:sz w:val="44"/>
    </w:rPr>
  </w:style>
  <w:style w:type="character" w:customStyle="1" w:styleId="19">
    <w:name w:val="批注框文本 字符"/>
    <w:link w:val="6"/>
    <w:uiPriority w:val="0"/>
    <w:rPr>
      <w:rFonts w:ascii="Calibri" w:hAnsi="Calibri" w:cs="黑体"/>
      <w:kern w:val="2"/>
      <w:sz w:val="18"/>
      <w:szCs w:val="18"/>
    </w:rPr>
  </w:style>
  <w:style w:type="character" w:customStyle="1" w:styleId="20">
    <w:name w:val="批注文字 字符"/>
    <w:link w:val="5"/>
    <w:uiPriority w:val="0"/>
    <w:rPr>
      <w:rFonts w:ascii="Calibri" w:hAnsi="Calibri" w:cs="黑体"/>
      <w:kern w:val="2"/>
      <w:sz w:val="21"/>
      <w:szCs w:val="24"/>
    </w:rPr>
  </w:style>
  <w:style w:type="character" w:customStyle="1" w:styleId="21">
    <w:name w:val="批注主题 字符"/>
    <w:link w:val="10"/>
    <w:uiPriority w:val="0"/>
    <w:rPr>
      <w:rFonts w:ascii="Calibri" w:hAnsi="Calibri" w:cs="黑体"/>
      <w:b/>
      <w:bCs/>
      <w:kern w:val="2"/>
      <w:sz w:val="21"/>
      <w:szCs w:val="24"/>
    </w:rPr>
  </w:style>
  <w:style w:type="character" w:customStyle="1" w:styleId="22">
    <w:name w:val="标题 2 字符"/>
    <w:link w:val="3"/>
    <w:uiPriority w:val="0"/>
    <w:rPr>
      <w:rFonts w:ascii="Arial" w:hAnsi="Arial" w:eastAsia="宋体"/>
      <w:b/>
      <w:sz w:val="24"/>
    </w:rPr>
  </w:style>
  <w:style w:type="character" w:customStyle="1" w:styleId="23">
    <w:name w:val="标题 3 字符"/>
    <w:link w:val="4"/>
    <w:uiPriority w:val="0"/>
    <w:rPr>
      <w:rFonts w:hAnsi="Calibri" w:eastAsia="宋体"/>
      <w:b/>
      <w:sz w:val="24"/>
    </w:rPr>
  </w:style>
  <w:style w:type="character" w:customStyle="1" w:styleId="24">
    <w:name w:val="标题 1 字符"/>
    <w:link w:val="2"/>
    <w:uiPriority w:val="0"/>
    <w:rPr>
      <w:rFonts w:eastAsia="宋体"/>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35069</Words>
  <Characters>37035</Characters>
  <Lines>267</Lines>
  <Paragraphs>75</Paragraphs>
  <TotalTime>0</TotalTime>
  <ScaleCrop>false</ScaleCrop>
  <LinksUpToDate>false</LinksUpToDate>
  <CharactersWithSpaces>37261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2025-07-08T01:14:00Z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